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150CBD6F" w:rsidR="00F110CD" w:rsidRPr="008F0F05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GoBack"/>
      <w:bookmarkEnd w:id="1"/>
      <w:r w:rsidRPr="008F0F05">
        <w:rPr>
          <w:bCs/>
          <w:noProof w:val="0"/>
          <w:sz w:val="24"/>
          <w:szCs w:val="24"/>
        </w:rPr>
        <w:t>3GPP TSG RA</w:t>
      </w:r>
      <w:r w:rsidR="00BA1872" w:rsidRPr="008F0F05">
        <w:rPr>
          <w:bCs/>
          <w:noProof w:val="0"/>
          <w:sz w:val="24"/>
          <w:szCs w:val="24"/>
        </w:rPr>
        <w:t xml:space="preserve">N WG1 </w:t>
      </w:r>
      <w:r w:rsidR="00B65452" w:rsidRPr="008F0F05">
        <w:rPr>
          <w:bCs/>
          <w:noProof w:val="0"/>
          <w:sz w:val="24"/>
          <w:szCs w:val="24"/>
        </w:rPr>
        <w:t>#</w:t>
      </w:r>
      <w:r w:rsidR="00191E79" w:rsidRPr="008F0F05">
        <w:rPr>
          <w:bCs/>
          <w:noProof w:val="0"/>
          <w:sz w:val="24"/>
          <w:szCs w:val="24"/>
        </w:rPr>
        <w:t>10</w:t>
      </w:r>
      <w:r w:rsidR="00205A4B" w:rsidRPr="008F0F05">
        <w:rPr>
          <w:bCs/>
          <w:noProof w:val="0"/>
          <w:sz w:val="24"/>
          <w:szCs w:val="24"/>
        </w:rPr>
        <w:t>2</w:t>
      </w:r>
      <w:r w:rsidR="001348FE" w:rsidRPr="008F0F05">
        <w:rPr>
          <w:bCs/>
          <w:noProof w:val="0"/>
          <w:sz w:val="24"/>
          <w:szCs w:val="24"/>
        </w:rPr>
        <w:tab/>
      </w:r>
      <w:r w:rsidR="00BA1872" w:rsidRPr="008F0F05">
        <w:rPr>
          <w:bCs/>
          <w:noProof w:val="0"/>
          <w:sz w:val="24"/>
          <w:szCs w:val="24"/>
        </w:rPr>
        <w:t>R1-</w:t>
      </w:r>
      <w:r w:rsidR="00191E79" w:rsidRPr="008F0F05">
        <w:rPr>
          <w:bCs/>
          <w:noProof w:val="0"/>
          <w:sz w:val="24"/>
          <w:szCs w:val="24"/>
        </w:rPr>
        <w:t>2</w:t>
      </w:r>
      <w:r w:rsidR="00A11FFC" w:rsidRPr="008F0F05">
        <w:rPr>
          <w:bCs/>
          <w:noProof w:val="0"/>
          <w:sz w:val="24"/>
          <w:szCs w:val="24"/>
        </w:rPr>
        <w:t>0</w:t>
      </w:r>
      <w:r w:rsidR="008F0F05" w:rsidRPr="008F0F05">
        <w:rPr>
          <w:bCs/>
          <w:noProof w:val="0"/>
          <w:sz w:val="24"/>
          <w:szCs w:val="24"/>
        </w:rPr>
        <w:t>06470</w:t>
      </w:r>
    </w:p>
    <w:p w14:paraId="30E02940" w14:textId="610BFF7C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8F0F05">
        <w:rPr>
          <w:bCs/>
          <w:noProof w:val="0"/>
          <w:sz w:val="24"/>
          <w:szCs w:val="24"/>
        </w:rPr>
        <w:t xml:space="preserve">e-Meeting, </w:t>
      </w:r>
      <w:r w:rsidR="00205A4B" w:rsidRPr="008F0F05">
        <w:rPr>
          <w:bCs/>
          <w:noProof w:val="0"/>
          <w:sz w:val="24"/>
          <w:szCs w:val="24"/>
        </w:rPr>
        <w:t>August</w:t>
      </w:r>
      <w:r w:rsidR="004A77B1" w:rsidRPr="008F0F05">
        <w:rPr>
          <w:bCs/>
          <w:noProof w:val="0"/>
          <w:sz w:val="24"/>
          <w:szCs w:val="24"/>
        </w:rPr>
        <w:t xml:space="preserve"> </w:t>
      </w:r>
      <w:r w:rsidR="00205A4B" w:rsidRPr="008F0F05">
        <w:rPr>
          <w:bCs/>
          <w:noProof w:val="0"/>
          <w:sz w:val="24"/>
          <w:szCs w:val="24"/>
        </w:rPr>
        <w:t>17</w:t>
      </w:r>
      <w:r w:rsidR="004A77B1" w:rsidRPr="008F0F05">
        <w:rPr>
          <w:bCs/>
          <w:noProof w:val="0"/>
          <w:sz w:val="24"/>
          <w:szCs w:val="24"/>
          <w:vertAlign w:val="superscript"/>
        </w:rPr>
        <w:t>th</w:t>
      </w:r>
      <w:r w:rsidR="004A77B1" w:rsidRPr="008F0F05">
        <w:rPr>
          <w:bCs/>
          <w:noProof w:val="0"/>
          <w:sz w:val="24"/>
          <w:szCs w:val="24"/>
        </w:rPr>
        <w:t xml:space="preserve"> </w:t>
      </w:r>
      <w:r w:rsidR="00451BAE" w:rsidRPr="008F0F05">
        <w:rPr>
          <w:bCs/>
          <w:noProof w:val="0"/>
          <w:sz w:val="24"/>
          <w:szCs w:val="24"/>
        </w:rPr>
        <w:t xml:space="preserve">– </w:t>
      </w:r>
      <w:r w:rsidR="00205A4B" w:rsidRPr="008F0F05">
        <w:rPr>
          <w:bCs/>
          <w:noProof w:val="0"/>
          <w:sz w:val="24"/>
          <w:szCs w:val="24"/>
        </w:rPr>
        <w:t>2</w:t>
      </w:r>
      <w:r w:rsidR="008F0F05" w:rsidRPr="008F0F05">
        <w:rPr>
          <w:bCs/>
          <w:noProof w:val="0"/>
          <w:sz w:val="24"/>
          <w:szCs w:val="24"/>
        </w:rPr>
        <w:t>8</w:t>
      </w:r>
      <w:r w:rsidRPr="008F0F05">
        <w:rPr>
          <w:bCs/>
          <w:noProof w:val="0"/>
          <w:sz w:val="24"/>
          <w:szCs w:val="24"/>
          <w:vertAlign w:val="superscript"/>
        </w:rPr>
        <w:t>th</w:t>
      </w:r>
      <w:r w:rsidRPr="008F0F05">
        <w:rPr>
          <w:bCs/>
          <w:noProof w:val="0"/>
          <w:sz w:val="24"/>
          <w:szCs w:val="24"/>
        </w:rPr>
        <w:t>, 2020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5BAC0E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8F0F05">
        <w:rPr>
          <w:rFonts w:cs="Arial"/>
          <w:b/>
          <w:bCs/>
          <w:sz w:val="24"/>
          <w:szCs w:val="24"/>
        </w:rPr>
        <w:t>8.14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2F1576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F0F05" w:rsidRPr="008F0F05">
        <w:rPr>
          <w:rFonts w:ascii="Arial" w:hAnsi="Arial" w:cs="Arial"/>
          <w:b/>
          <w:bCs/>
          <w:sz w:val="24"/>
        </w:rPr>
        <w:t>Extension of the Dynamic Spectrum Sharing (DSS) WID</w:t>
      </w:r>
    </w:p>
    <w:p w14:paraId="30E02944" w14:textId="6C5FD242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8F0F05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EF085F2" w14:textId="1FC66425" w:rsidR="004A77B1" w:rsidRDefault="004A77B1" w:rsidP="00A64A6E">
      <w:bookmarkStart w:id="2" w:name="_Hlk510705081"/>
      <w:r>
        <w:t>RAN</w:t>
      </w:r>
      <w:r w:rsidR="003A7127">
        <w:t>#86 approved a DSS WI for Release 17 with the following objective</w:t>
      </w:r>
      <w:r w:rsidR="00842A32">
        <w:t>s</w:t>
      </w:r>
      <w:r w:rsidR="003A7127"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7127" w14:paraId="615EE648" w14:textId="77777777" w:rsidTr="003A7127">
        <w:tc>
          <w:tcPr>
            <w:tcW w:w="9629" w:type="dxa"/>
          </w:tcPr>
          <w:p w14:paraId="2A2E6D1F" w14:textId="77777777" w:rsidR="003A7127" w:rsidRDefault="003A7127" w:rsidP="003A7127">
            <w:pPr>
              <w:spacing w:after="0"/>
              <w:rPr>
                <w:lang w:val="en-US"/>
              </w:rPr>
            </w:pPr>
            <w:r>
              <w:t>This work item is limited to FR1, and includes the following objectives for NR Dynamic Spectrum Sharing (DSS):</w:t>
            </w:r>
          </w:p>
          <w:p w14:paraId="521D043E" w14:textId="77777777" w:rsidR="003A7127" w:rsidRPr="0047624C" w:rsidRDefault="003A7127" w:rsidP="003A712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 w:rsidRPr="0047624C">
              <w:t>PDCCH enhancements for cross-carrier scheduling including [RAN1, RAN2]</w:t>
            </w:r>
          </w:p>
          <w:p w14:paraId="3E38B164" w14:textId="77777777" w:rsidR="003A7127" w:rsidRPr="0047624C" w:rsidRDefault="003A7127" w:rsidP="003A712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 w:rsidRPr="0047624C">
              <w:t xml:space="preserve">PDCCH of </w:t>
            </w:r>
            <w:proofErr w:type="spellStart"/>
            <w:r w:rsidRPr="0047624C">
              <w:t>SCell</w:t>
            </w:r>
            <w:proofErr w:type="spellEnd"/>
            <w:r w:rsidRPr="0047624C">
              <w:t xml:space="preserve"> scheduling PDSCH or PUSCH on P(S)Cell</w:t>
            </w:r>
          </w:p>
          <w:p w14:paraId="1FFA0E44" w14:textId="77777777" w:rsidR="003A7127" w:rsidRPr="0047624C" w:rsidRDefault="003A7127" w:rsidP="003A712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 w:rsidRPr="0047624C">
              <w:t>Study, and if agreed specify PDCCH of P(S)Cell/</w:t>
            </w:r>
            <w:proofErr w:type="spellStart"/>
            <w:r w:rsidRPr="0047624C">
              <w:t>SCell</w:t>
            </w:r>
            <w:proofErr w:type="spellEnd"/>
            <w:r w:rsidRPr="0047624C">
              <w:t xml:space="preserve"> scheduling PDSCH on multiple cells using a single DCI</w:t>
            </w:r>
          </w:p>
          <w:p w14:paraId="5701FE60" w14:textId="77777777" w:rsidR="003A7127" w:rsidRDefault="003A7127" w:rsidP="003A7127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The number of cells can be scheduled at once is limited to 2</w:t>
            </w:r>
          </w:p>
          <w:p w14:paraId="02888125" w14:textId="77777777" w:rsidR="003A7127" w:rsidRDefault="003A7127" w:rsidP="003A7127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The increase in DCI size should be minimized</w:t>
            </w:r>
          </w:p>
          <w:p w14:paraId="49CF1ADE" w14:textId="77777777" w:rsidR="003A7127" w:rsidRDefault="003A7127" w:rsidP="003A712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14:paraId="7151921A" w14:textId="7AD963C5" w:rsidR="003A7127" w:rsidRDefault="003A7127" w:rsidP="00A64A6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Note: These enhancements are not specific to DSS and are generally applicable to cross-carrier scheduling in carrier aggregation</w:t>
            </w:r>
          </w:p>
        </w:tc>
      </w:tr>
    </w:tbl>
    <w:p w14:paraId="0A08C974" w14:textId="15CC0BFB" w:rsidR="003A7127" w:rsidRDefault="003A7127" w:rsidP="00A64A6E"/>
    <w:p w14:paraId="30A03E19" w14:textId="1E2257D9" w:rsidR="00F46833" w:rsidRDefault="00F46833" w:rsidP="00A64A6E">
      <w:r>
        <w:t xml:space="preserve">As mentioned in the Justification part of the newly approved DSS WI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6833" w14:paraId="794A198D" w14:textId="77777777" w:rsidTr="00F46833">
        <w:tc>
          <w:tcPr>
            <w:tcW w:w="9629" w:type="dxa"/>
          </w:tcPr>
          <w:p w14:paraId="3FAD6009" w14:textId="0CD79AAC" w:rsidR="00F46833" w:rsidRDefault="00F46833" w:rsidP="00A64A6E">
            <w:r>
              <w:t xml:space="preserve">Dynamic spectrum sharing (DSS) provides a very useful migration path from LTE to NR by allowing LTE and NR to share the same carrier. DSS was included already in Rel-15 and further enhanced in Rel-16. As </w:t>
            </w:r>
            <w:r w:rsidRPr="00D24232">
              <w:t xml:space="preserve">the </w:t>
            </w:r>
            <w:r>
              <w:t xml:space="preserve">number of </w:t>
            </w:r>
            <w:r w:rsidRPr="00D24232">
              <w:t>NR device</w:t>
            </w:r>
            <w:r>
              <w:t>s</w:t>
            </w:r>
            <w:r w:rsidRPr="00D24232">
              <w:t xml:space="preserve"> </w:t>
            </w:r>
            <w:r>
              <w:t xml:space="preserve">in a network increases, it is important that </w:t>
            </w:r>
            <w:proofErr w:type="gramStart"/>
            <w:r w:rsidRPr="00D24232">
              <w:t>sufficient</w:t>
            </w:r>
            <w:proofErr w:type="gramEnd"/>
            <w:r w:rsidRPr="00D24232">
              <w:t xml:space="preserve"> scheduling capacity for NR UEs on </w:t>
            </w:r>
            <w:r>
              <w:t xml:space="preserve">the shared carriers I </w:t>
            </w:r>
            <w:r w:rsidRPr="00D24232">
              <w:t>ensured</w:t>
            </w:r>
            <w:r>
              <w:t>.</w:t>
            </w:r>
          </w:p>
        </w:tc>
      </w:tr>
    </w:tbl>
    <w:p w14:paraId="20CEDE68" w14:textId="52A4EA62" w:rsidR="00F46833" w:rsidRDefault="00F46833" w:rsidP="00A64A6E"/>
    <w:p w14:paraId="4FF448D7" w14:textId="501A876A" w:rsidR="003A7127" w:rsidRDefault="003A7127" w:rsidP="00A64A6E">
      <w:r>
        <w:t xml:space="preserve">This </w:t>
      </w:r>
      <w:r w:rsidR="00F46833">
        <w:t xml:space="preserve">contribution </w:t>
      </w:r>
      <w:r w:rsidR="00957F29">
        <w:t>considers</w:t>
      </w:r>
      <w:r w:rsidR="006A2646">
        <w:t xml:space="preserve"> possible extension</w:t>
      </w:r>
      <w:r w:rsidR="00957F29">
        <w:t>s of the objective of</w:t>
      </w:r>
      <w:r w:rsidR="006A2646">
        <w:t xml:space="preserve"> DSS WI for Release 17 given its limited scope</w:t>
      </w:r>
      <w:r w:rsidR="00957F29">
        <w:t xml:space="preserve">. As a concrete example, </w:t>
      </w:r>
      <w:r w:rsidR="00F46833">
        <w:t xml:space="preserve">the possibility </w:t>
      </w:r>
      <w:r w:rsidR="00BD5CA1">
        <w:t>of</w:t>
      </w:r>
      <w:r w:rsidR="00BD5CA1" w:rsidRPr="00BD5CA1">
        <w:t xml:space="preserve"> support</w:t>
      </w:r>
      <w:r w:rsidR="00BD5CA1">
        <w:t>ing</w:t>
      </w:r>
      <w:r w:rsidR="002C742F">
        <w:t xml:space="preserve"> </w:t>
      </w:r>
      <w:r w:rsidR="002C742F" w:rsidRPr="002C742F">
        <w:t>NR PDCCH puncturing around LTE PDCCH</w:t>
      </w:r>
      <w:r w:rsidR="00957F29">
        <w:t xml:space="preserve"> is discussed</w:t>
      </w:r>
      <w:r w:rsidR="00BD5CA1">
        <w:t>.</w:t>
      </w:r>
    </w:p>
    <w:p w14:paraId="73A82122" w14:textId="70A704F2" w:rsidR="001F201D" w:rsidRDefault="00670750" w:rsidP="00842A32">
      <w:pPr>
        <w:pStyle w:val="Heading1"/>
      </w:pPr>
      <w:r w:rsidRPr="00670750">
        <w:t>NR PDCCH multiplexing in DSS cell</w:t>
      </w:r>
    </w:p>
    <w:p w14:paraId="2AE24118" w14:textId="107E087C" w:rsidR="00E57D5C" w:rsidRDefault="001D4A13" w:rsidP="001D4A13">
      <w:pPr>
        <w:jc w:val="both"/>
      </w:pPr>
      <w:r>
        <w:t xml:space="preserve">There are many deployment scenarios where a serving cell may be limited in control channel capacity (PDCCH). </w:t>
      </w:r>
      <w:r w:rsidR="00E57D5C">
        <w:t>O</w:t>
      </w:r>
      <w:r>
        <w:t>ne example of such scenario is LTE-NR DSS</w:t>
      </w:r>
      <w:r w:rsidR="00942F15">
        <w:t xml:space="preserve"> where</w:t>
      </w:r>
      <w:r w:rsidR="00E57D5C">
        <w:t xml:space="preserve"> </w:t>
      </w:r>
      <w:r w:rsidR="00E57D5C" w:rsidRPr="00E57D5C">
        <w:t xml:space="preserve">NR PDCCH and LTE PDCCH </w:t>
      </w:r>
      <w:proofErr w:type="gramStart"/>
      <w:r w:rsidR="00E57D5C" w:rsidRPr="00E57D5C">
        <w:t>have to</w:t>
      </w:r>
      <w:proofErr w:type="gramEnd"/>
      <w:r w:rsidR="00E57D5C" w:rsidRPr="00E57D5C">
        <w:t xml:space="preserve"> be currently multiplex</w:t>
      </w:r>
      <w:r w:rsidR="00E57D5C">
        <w:t>ed</w:t>
      </w:r>
      <w:r w:rsidR="00E57D5C" w:rsidRPr="00E57D5C">
        <w:t xml:space="preserve"> in time</w:t>
      </w:r>
      <w:r w:rsidR="00942F15">
        <w:t xml:space="preserve"> creating capacity issues</w:t>
      </w:r>
      <w:r w:rsidR="00973542">
        <w:t>. When PDCCH resources in the serving cell are scarce</w:t>
      </w:r>
      <w:r w:rsidR="00942F15">
        <w:t>,</w:t>
      </w:r>
      <w:r w:rsidR="00973542">
        <w:t xml:space="preserve"> the scheduling of user plane and other control plane traffic</w:t>
      </w:r>
      <w:r w:rsidR="00942F15">
        <w:t xml:space="preserve"> is impacted</w:t>
      </w:r>
      <w:r w:rsidR="00973542">
        <w:t>.</w:t>
      </w:r>
    </w:p>
    <w:p w14:paraId="6A80F0D9" w14:textId="4055A20B" w:rsidR="001D4A13" w:rsidRDefault="001D4A13" w:rsidP="001D4A13">
      <w:pPr>
        <w:jc w:val="both"/>
      </w:pPr>
      <w:r>
        <w:t>The current DSS framework adopted by the ecosystem is mostly based on CRS rate matching and this leads to having only one NR PDCCH symbol in a slot when 4</w:t>
      </w:r>
      <w:r w:rsidR="00CF6C26">
        <w:t>-</w:t>
      </w:r>
      <w:r>
        <w:t>port LTE CRS is assumed. The 3GPP specs do allow for more NR PDCCH symbols in a slot, however this would lead to reduced PDSCH capacity and requires UEs in the field to support optional features which are not supported as of today</w:t>
      </w:r>
      <w:r w:rsidR="00942F15">
        <w:t>.</w:t>
      </w:r>
    </w:p>
    <w:p w14:paraId="4B9C892A" w14:textId="749D444C" w:rsidR="006F28D1" w:rsidRDefault="00C87345" w:rsidP="001D4A13">
      <w:pPr>
        <w:jc w:val="both"/>
      </w:pPr>
      <w:r>
        <w:t>One</w:t>
      </w:r>
      <w:r w:rsidR="006F28D1">
        <w:t xml:space="preserve"> alternative to a single non-overlapping</w:t>
      </w:r>
      <w:r w:rsidR="006F28D1" w:rsidRPr="006F28D1">
        <w:t xml:space="preserve"> NR PDCCH symbol </w:t>
      </w:r>
      <w:r w:rsidR="006F28D1">
        <w:t xml:space="preserve">is to </w:t>
      </w:r>
      <w:r w:rsidR="006F28D1" w:rsidRPr="006F28D1">
        <w:t>us</w:t>
      </w:r>
      <w:r w:rsidR="006F28D1">
        <w:t>e</w:t>
      </w:r>
      <w:r w:rsidR="006F28D1" w:rsidRPr="006F28D1">
        <w:t xml:space="preserve"> 2 NR PDCCH symbols overlapping with LTE</w:t>
      </w:r>
      <w:r w:rsidR="006F28D1">
        <w:t xml:space="preserve"> as illustrated in </w:t>
      </w:r>
      <w:r w:rsidR="006F28D1">
        <w:fldChar w:fldCharType="begin"/>
      </w:r>
      <w:r w:rsidR="006F28D1">
        <w:instrText xml:space="preserve"> REF _Ref47453426 \h </w:instrText>
      </w:r>
      <w:r w:rsidR="006F28D1">
        <w:fldChar w:fldCharType="separate"/>
      </w:r>
      <w:r w:rsidR="006F28D1">
        <w:t xml:space="preserve">Figure </w:t>
      </w:r>
      <w:r w:rsidR="006F28D1">
        <w:rPr>
          <w:noProof/>
        </w:rPr>
        <w:t>1</w:t>
      </w:r>
      <w:r w:rsidR="006F28D1">
        <w:fldChar w:fldCharType="end"/>
      </w:r>
      <w:r w:rsidR="006F28D1">
        <w:t>.</w:t>
      </w:r>
      <w:r w:rsidR="00DC2261">
        <w:t xml:space="preserve"> </w:t>
      </w:r>
      <w:r w:rsidR="0075015A">
        <w:t xml:space="preserve">In this </w:t>
      </w:r>
      <w:proofErr w:type="spellStart"/>
      <w:r w:rsidR="0075015A">
        <w:t>confuguration</w:t>
      </w:r>
      <w:proofErr w:type="spellEnd"/>
      <w:r w:rsidR="0075015A">
        <w:t>, the</w:t>
      </w:r>
      <w:r w:rsidR="0075015A" w:rsidRPr="0075015A">
        <w:t xml:space="preserve"> UE would estimate channel of NR CORESET only from symbol#2 and symbol#1 would not carry NR PDCCH DMRS</w:t>
      </w:r>
      <w:r w:rsidR="0075015A">
        <w:t>.</w:t>
      </w:r>
      <w:r w:rsidR="0075015A" w:rsidRPr="0075015A">
        <w:t xml:space="preserve"> </w:t>
      </w:r>
      <w:r w:rsidR="002C6E9B">
        <w:t>H</w:t>
      </w:r>
      <w:r w:rsidR="00DC2261">
        <w:t>owever, f</w:t>
      </w:r>
      <w:r w:rsidR="002C6E9B">
        <w:t>rom [2]</w:t>
      </w:r>
      <w:r w:rsidR="00B46E84">
        <w:t xml:space="preserve"> and [3]</w:t>
      </w:r>
      <w:r>
        <w:t>,</w:t>
      </w:r>
      <w:r w:rsidR="00DC2261" w:rsidRPr="00DC2261">
        <w:t xml:space="preserve"> </w:t>
      </w:r>
      <w:r>
        <w:t xml:space="preserve">the UE is not </w:t>
      </w:r>
      <w:r w:rsidRPr="00C87345">
        <w:t>required to monitor the PDCCH candidate</w:t>
      </w:r>
      <w:r>
        <w:t xml:space="preserve"> i</w:t>
      </w:r>
      <w:r w:rsidRPr="00C87345">
        <w:t xml:space="preserve">f at least one RE of a PDCCH candidate for a UE on the serving cell overlaps with at least one RE of </w:t>
      </w:r>
      <w:proofErr w:type="spellStart"/>
      <w:r w:rsidRPr="00CF6C26">
        <w:rPr>
          <w:i/>
          <w:iCs/>
        </w:rPr>
        <w:t>lte</w:t>
      </w:r>
      <w:proofErr w:type="spellEnd"/>
      <w:r w:rsidRPr="00CF6C26">
        <w:rPr>
          <w:i/>
          <w:iCs/>
        </w:rPr>
        <w:t>-CRS-</w:t>
      </w:r>
      <w:proofErr w:type="spellStart"/>
      <w:r w:rsidRPr="00CF6C26">
        <w:rPr>
          <w:i/>
          <w:iCs/>
        </w:rPr>
        <w:t>ToMatchAround</w:t>
      </w:r>
      <w:proofErr w:type="spellEnd"/>
      <w:r w:rsidRPr="00C87345">
        <w:t xml:space="preserve">, or of </w:t>
      </w:r>
      <w:r w:rsidRPr="00CF6C26">
        <w:rPr>
          <w:i/>
          <w:iCs/>
        </w:rPr>
        <w:t>LTE-CRS-PatternList-r16</w:t>
      </w:r>
      <w:r w:rsidRPr="00C87345">
        <w:t>.</w:t>
      </w:r>
      <w:r>
        <w:t xml:space="preserve"> </w:t>
      </w:r>
    </w:p>
    <w:p w14:paraId="316C431E" w14:textId="77777777" w:rsidR="006F28D1" w:rsidRDefault="006F28D1" w:rsidP="006F28D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6F1ED0" wp14:editId="362ABAB0">
            <wp:extent cx="5553710" cy="780415"/>
            <wp:effectExtent l="0" t="0" r="889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71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F459BC" w14:textId="0AC9502B" w:rsidR="006F28D1" w:rsidRDefault="006F28D1" w:rsidP="006F28D1">
      <w:pPr>
        <w:pStyle w:val="Caption"/>
        <w:jc w:val="center"/>
      </w:pPr>
      <w:bookmarkStart w:id="4" w:name="_Ref474534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Allowing LTE and NR PDCCH to overlap in time.</w:t>
      </w:r>
    </w:p>
    <w:p w14:paraId="7E025115" w14:textId="4F46E60D" w:rsidR="006F28D1" w:rsidRDefault="006F28D1" w:rsidP="001D4A13">
      <w:pPr>
        <w:jc w:val="both"/>
      </w:pPr>
      <w:r w:rsidRPr="006F28D1">
        <w:t>.</w:t>
      </w:r>
    </w:p>
    <w:p w14:paraId="69A034DE" w14:textId="1A87DB90" w:rsidR="00942F15" w:rsidRPr="00942F15" w:rsidRDefault="00942F15" w:rsidP="00C87345">
      <w:pPr>
        <w:jc w:val="both"/>
      </w:pPr>
      <w:r w:rsidRPr="00424ED6">
        <w:rPr>
          <w:rFonts w:eastAsia="Times New Roman"/>
          <w:b/>
          <w:bCs/>
          <w:i/>
          <w:iCs/>
        </w:rPr>
        <w:t>Observation</w:t>
      </w:r>
      <w:r>
        <w:rPr>
          <w:rFonts w:eastAsia="Times New Roman"/>
          <w:b/>
          <w:bCs/>
          <w:i/>
          <w:iCs/>
        </w:rPr>
        <w:t xml:space="preserve"> 1</w:t>
      </w:r>
      <w:r w:rsidRPr="00424ED6">
        <w:rPr>
          <w:rFonts w:eastAsia="Times New Roman"/>
          <w:b/>
          <w:bCs/>
          <w:i/>
          <w:iCs/>
        </w:rPr>
        <w:t>:</w:t>
      </w:r>
      <w:r>
        <w:rPr>
          <w:rFonts w:eastAsia="Times New Roman"/>
          <w:b/>
          <w:bCs/>
          <w:i/>
          <w:iCs/>
        </w:rPr>
        <w:t xml:space="preserve"> </w:t>
      </w:r>
      <w:proofErr w:type="spellStart"/>
      <w:r w:rsidR="00E62B94">
        <w:rPr>
          <w:rFonts w:eastAsia="Times New Roman"/>
          <w:b/>
          <w:bCs/>
          <w:i/>
          <w:iCs/>
        </w:rPr>
        <w:t>Accordign</w:t>
      </w:r>
      <w:proofErr w:type="spellEnd"/>
      <w:r w:rsidR="00E62B94">
        <w:rPr>
          <w:rFonts w:eastAsia="Times New Roman"/>
          <w:b/>
          <w:bCs/>
          <w:i/>
          <w:iCs/>
        </w:rPr>
        <w:t xml:space="preserve"> to current specifications, </w:t>
      </w:r>
      <w:r w:rsidR="00E62B94">
        <w:rPr>
          <w:rFonts w:eastAsia="Times New Roman"/>
          <w:i/>
          <w:iCs/>
        </w:rPr>
        <w:t>t</w:t>
      </w:r>
      <w:r w:rsidR="00C87345" w:rsidRPr="00C87345">
        <w:rPr>
          <w:rFonts w:eastAsia="Times New Roman"/>
          <w:i/>
          <w:iCs/>
        </w:rPr>
        <w:t>he UE is not required to monitor the</w:t>
      </w:r>
      <w:r w:rsidR="00C87345">
        <w:rPr>
          <w:rFonts w:eastAsia="Times New Roman"/>
          <w:i/>
          <w:iCs/>
        </w:rPr>
        <w:t xml:space="preserve"> NR</w:t>
      </w:r>
      <w:r w:rsidR="00C87345" w:rsidRPr="00C87345">
        <w:rPr>
          <w:rFonts w:eastAsia="Times New Roman"/>
          <w:i/>
          <w:iCs/>
        </w:rPr>
        <w:t xml:space="preserve"> PDCCH candidate</w:t>
      </w:r>
      <w:r w:rsidR="00CF6C26">
        <w:rPr>
          <w:rFonts w:eastAsia="Times New Roman"/>
          <w:i/>
          <w:iCs/>
        </w:rPr>
        <w:t xml:space="preserve"> when it overlaps with LTE-CRS</w:t>
      </w:r>
      <w:r w:rsidR="00C87345">
        <w:rPr>
          <w:rFonts w:eastAsia="Times New Roman"/>
          <w:i/>
          <w:iCs/>
        </w:rPr>
        <w:t>.</w:t>
      </w:r>
      <w:r w:rsidR="00C87345" w:rsidRPr="00CF6C26">
        <w:rPr>
          <w:rFonts w:eastAsia="Times New Roman"/>
          <w:i/>
          <w:iCs/>
        </w:rPr>
        <w:t xml:space="preserve"> </w:t>
      </w:r>
      <w:r w:rsidR="00CF6C26">
        <w:rPr>
          <w:rFonts w:eastAsia="Times New Roman"/>
          <w:i/>
          <w:iCs/>
        </w:rPr>
        <w:t>C</w:t>
      </w:r>
      <w:r w:rsidR="00C87345" w:rsidRPr="00CF6C26">
        <w:rPr>
          <w:rFonts w:eastAsia="Times New Roman"/>
          <w:i/>
          <w:iCs/>
        </w:rPr>
        <w:t>hange</w:t>
      </w:r>
      <w:r w:rsidR="00CF6C26">
        <w:rPr>
          <w:rFonts w:eastAsia="Times New Roman"/>
          <w:i/>
          <w:iCs/>
        </w:rPr>
        <w:t xml:space="preserve">s to the </w:t>
      </w:r>
      <w:proofErr w:type="spellStart"/>
      <w:r w:rsidR="00CF6C26">
        <w:rPr>
          <w:rFonts w:eastAsia="Times New Roman"/>
          <w:i/>
          <w:iCs/>
        </w:rPr>
        <w:t>specificiation</w:t>
      </w:r>
      <w:proofErr w:type="spellEnd"/>
      <w:r w:rsidR="00CF6C26">
        <w:rPr>
          <w:rFonts w:eastAsia="Times New Roman"/>
          <w:i/>
          <w:iCs/>
        </w:rPr>
        <w:t xml:space="preserve"> are required</w:t>
      </w:r>
      <w:r w:rsidR="00C87345" w:rsidRPr="00CF6C26">
        <w:rPr>
          <w:rFonts w:eastAsia="Times New Roman"/>
          <w:i/>
          <w:iCs/>
        </w:rPr>
        <w:t xml:space="preserve"> to support LTE CRS overlapping</w:t>
      </w:r>
      <w:r w:rsidR="00DE05E8">
        <w:rPr>
          <w:rFonts w:eastAsia="Times New Roman"/>
          <w:i/>
          <w:iCs/>
        </w:rPr>
        <w:t xml:space="preserve"> and 2 OS</w:t>
      </w:r>
      <w:r w:rsidR="00C87345" w:rsidRPr="00CF6C26">
        <w:rPr>
          <w:rFonts w:eastAsia="Times New Roman"/>
          <w:i/>
          <w:iCs/>
        </w:rPr>
        <w:t xml:space="preserve"> </w:t>
      </w:r>
      <w:r w:rsidR="00CF6C26">
        <w:rPr>
          <w:rFonts w:eastAsia="Times New Roman"/>
          <w:i/>
          <w:iCs/>
        </w:rPr>
        <w:t xml:space="preserve">NR </w:t>
      </w:r>
      <w:r w:rsidR="00C87345" w:rsidRPr="00CF6C26">
        <w:rPr>
          <w:rFonts w:eastAsia="Times New Roman"/>
          <w:i/>
          <w:iCs/>
        </w:rPr>
        <w:t>PDCCH</w:t>
      </w:r>
      <w:r w:rsidR="00CF6C26">
        <w:rPr>
          <w:rFonts w:eastAsia="Times New Roman"/>
          <w:b/>
          <w:bCs/>
          <w:i/>
          <w:iCs/>
        </w:rPr>
        <w:t>.</w:t>
      </w:r>
      <w:r w:rsidR="00C87345" w:rsidRPr="00C87345">
        <w:rPr>
          <w:rFonts w:eastAsia="Times New Roman"/>
          <w:b/>
          <w:bCs/>
          <w:i/>
          <w:iCs/>
        </w:rPr>
        <w:t xml:space="preserve"> </w:t>
      </w:r>
    </w:p>
    <w:p w14:paraId="3F328FC4" w14:textId="49520A9D" w:rsidR="00670750" w:rsidRDefault="00670750" w:rsidP="00670750">
      <w:pPr>
        <w:pStyle w:val="Heading2"/>
      </w:pPr>
      <w:r>
        <w:t>Numerical Analysis</w:t>
      </w:r>
    </w:p>
    <w:p w14:paraId="4B03F611" w14:textId="5391CAA4" w:rsidR="00670750" w:rsidRPr="005F2D43" w:rsidRDefault="00EE1408" w:rsidP="005F2D43">
      <w:pPr>
        <w:tabs>
          <w:tab w:val="num" w:pos="720"/>
        </w:tabs>
      </w:pPr>
      <w:r>
        <w:t>Link level simulation results evaluate the impact of</w:t>
      </w:r>
      <w:r w:rsidRPr="00EE1408">
        <w:t xml:space="preserve"> multiplexing of up to 2</w:t>
      </w:r>
      <w:r>
        <w:t xml:space="preserve"> NR </w:t>
      </w:r>
      <w:r w:rsidRPr="00EE1408">
        <w:t xml:space="preserve">PDCCH </w:t>
      </w:r>
      <w:r>
        <w:t>symbols and</w:t>
      </w:r>
      <w:r w:rsidRPr="00EE1408">
        <w:t xml:space="preserve"> 2</w:t>
      </w:r>
      <w:r>
        <w:t xml:space="preserve"> LTE</w:t>
      </w:r>
      <w:r w:rsidRPr="00EE1408">
        <w:t xml:space="preserve"> PDCCH in in</w:t>
      </w:r>
      <w:r>
        <w:t xml:space="preserve"> the</w:t>
      </w:r>
      <w:r w:rsidRPr="00EE1408">
        <w:t xml:space="preserve"> first 3 </w:t>
      </w:r>
      <w:r>
        <w:t xml:space="preserve">OFDM </w:t>
      </w:r>
      <w:r w:rsidRPr="00EE1408">
        <w:t>symbols</w:t>
      </w:r>
      <w:r>
        <w:t>.</w:t>
      </w:r>
      <w:r w:rsidR="00DC2261">
        <w:t xml:space="preserve"> Here, </w:t>
      </w:r>
      <w:r w:rsidR="00DC2261" w:rsidRPr="00DC2261">
        <w:rPr>
          <w:lang w:val="en-US"/>
        </w:rPr>
        <w:t>2-port CRS is assumed</w:t>
      </w:r>
      <w:r w:rsidR="00DC2261">
        <w:rPr>
          <w:lang w:val="en-US"/>
        </w:rPr>
        <w:t xml:space="preserve">. 2 </w:t>
      </w:r>
      <w:r w:rsidR="00DC2261" w:rsidRPr="00DC2261">
        <w:rPr>
          <w:lang w:val="en-US"/>
        </w:rPr>
        <w:t>LTE PDCCH candidates</w:t>
      </w:r>
      <w:r w:rsidR="00DC2261">
        <w:rPr>
          <w:lang w:val="en-US"/>
        </w:rPr>
        <w:t xml:space="preserve"> </w:t>
      </w:r>
      <w:proofErr w:type="spellStart"/>
      <w:r w:rsidR="00DC2261">
        <w:rPr>
          <w:lang w:val="en-US"/>
        </w:rPr>
        <w:t>allcoated</w:t>
      </w:r>
      <w:proofErr w:type="spellEnd"/>
      <w:r w:rsidR="00DC2261" w:rsidRPr="00DC2261">
        <w:rPr>
          <w:lang w:val="en-US"/>
        </w:rPr>
        <w:t xml:space="preserve"> randomly to available CCEs</w:t>
      </w:r>
      <w:r w:rsidR="005F2D43">
        <w:rPr>
          <w:lang w:val="en-US"/>
        </w:rPr>
        <w:t>. NR PDDCH is configure</w:t>
      </w:r>
      <w:r w:rsidR="009E71C1">
        <w:rPr>
          <w:lang w:val="en-US"/>
        </w:rPr>
        <w:t>d</w:t>
      </w:r>
      <w:r w:rsidR="005F2D43">
        <w:rPr>
          <w:lang w:val="en-US"/>
        </w:rPr>
        <w:t xml:space="preserve"> with </w:t>
      </w:r>
      <w:r w:rsidR="005F2D43" w:rsidRPr="00CF6C26">
        <w:rPr>
          <w:b/>
          <w:bCs/>
          <w:lang w:val="en-US"/>
        </w:rPr>
        <w:t>localized mapping</w:t>
      </w:r>
      <w:r w:rsidR="005F2D43">
        <w:rPr>
          <w:lang w:val="en-US"/>
        </w:rPr>
        <w:t>.</w:t>
      </w:r>
      <w:r w:rsidR="00DC2261">
        <w:rPr>
          <w:lang w:val="en-US"/>
        </w:rPr>
        <w:t xml:space="preserve"> </w:t>
      </w:r>
      <w:r w:rsidR="00DC2261">
        <w:t>Detailed simulation assumptions are presented in annex A</w:t>
      </w:r>
      <w:r w:rsidR="005F2D43">
        <w:t xml:space="preserve">. For </w:t>
      </w:r>
      <w:r w:rsidR="00DC2261" w:rsidRPr="00DC2261">
        <w:rPr>
          <w:lang w:val="en-US"/>
        </w:rPr>
        <w:t>puncturing, NR PDCCH is mapped first, and then it is punctured by LTE PDCCH afterwards.</w:t>
      </w:r>
    </w:p>
    <w:p w14:paraId="024C747C" w14:textId="6A2FC129" w:rsidR="005A6535" w:rsidRDefault="005E7C21" w:rsidP="00842A32">
      <w:proofErr w:type="spellStart"/>
      <w:r>
        <w:t>Agreegation</w:t>
      </w:r>
      <w:proofErr w:type="spellEnd"/>
      <w:r>
        <w:t xml:space="preserve"> level (AL) 1</w:t>
      </w:r>
      <w:r w:rsidR="004145C0">
        <w:t xml:space="preserve">, 2, 4, 8 and </w:t>
      </w:r>
      <w:r>
        <w:t xml:space="preserve">16 </w:t>
      </w:r>
      <w:r w:rsidR="004145C0">
        <w:t>of</w:t>
      </w:r>
      <w:r>
        <w:t xml:space="preserve"> NR PDCCH</w:t>
      </w:r>
      <w:r w:rsidR="005A6535">
        <w:t xml:space="preserve"> are simulated respectively, when</w:t>
      </w:r>
      <w:r w:rsidR="004145C0">
        <w:t xml:space="preserve"> puncturing around LTE </w:t>
      </w:r>
      <w:r w:rsidR="005A6535">
        <w:t>PDCCHs</w:t>
      </w:r>
      <w:r w:rsidR="004145C0">
        <w:t>. S</w:t>
      </w:r>
      <w:r>
        <w:t xml:space="preserve">imulation results </w:t>
      </w:r>
      <w:r w:rsidR="000D3637">
        <w:t xml:space="preserve">show acceptable </w:t>
      </w:r>
      <w:proofErr w:type="spellStart"/>
      <w:r w:rsidR="000D3637">
        <w:t>performece</w:t>
      </w:r>
      <w:proofErr w:type="spellEnd"/>
      <w:r w:rsidR="000D3637">
        <w:t xml:space="preserve"> degradation of NR PDCCH, as </w:t>
      </w:r>
      <w:r>
        <w:t>shown in Figure</w:t>
      </w:r>
      <w:r w:rsidR="005A6535">
        <w:t xml:space="preserve"> 2 (2 LTE PDCCHs with AL 4) and Figure 3 (2 PDCCHs with AL 8)</w:t>
      </w:r>
      <w:r>
        <w:t xml:space="preserve">. For lower AL, </w:t>
      </w:r>
      <w:r w:rsidR="005A6535">
        <w:t>performance degradation is obvious</w:t>
      </w:r>
      <w:r w:rsidR="004145C0">
        <w:t xml:space="preserve">, as the </w:t>
      </w:r>
      <w:r w:rsidR="00CE692E">
        <w:t xml:space="preserve">overlapping </w:t>
      </w:r>
      <w:r w:rsidR="004145C0">
        <w:t xml:space="preserve">resource percentage of NR PDCCH affected by </w:t>
      </w:r>
      <w:r w:rsidR="005A6535">
        <w:t>LTE PDCCH</w:t>
      </w:r>
      <w:r w:rsidR="004145C0">
        <w:t xml:space="preserve"> are relative higher, </w:t>
      </w:r>
      <w:r w:rsidR="005A6535">
        <w:t>but</w:t>
      </w:r>
      <w:r w:rsidR="000D3637">
        <w:t xml:space="preserve"> for higher AL, the impact </w:t>
      </w:r>
      <w:proofErr w:type="gramStart"/>
      <w:r w:rsidR="005A6535">
        <w:t>a</w:t>
      </w:r>
      <w:r w:rsidR="000D3637">
        <w:t>re</w:t>
      </w:r>
      <w:proofErr w:type="gramEnd"/>
      <w:r w:rsidR="000D3637">
        <w:t xml:space="preserve"> gradually mitigated. </w:t>
      </w:r>
    </w:p>
    <w:p w14:paraId="2A792F80" w14:textId="1AD76493" w:rsidR="003E4AD9" w:rsidRDefault="003E4AD9" w:rsidP="004145C0">
      <w:pPr>
        <w:jc w:val="center"/>
        <w:rPr>
          <w:noProof/>
        </w:rPr>
      </w:pPr>
      <w:r w:rsidRPr="003E4AD9">
        <w:rPr>
          <w:noProof/>
        </w:rPr>
        <w:drawing>
          <wp:inline distT="0" distB="0" distL="0" distR="0" wp14:anchorId="48FD005C" wp14:editId="2D03AB0E">
            <wp:extent cx="5793745" cy="3864387"/>
            <wp:effectExtent l="0" t="0" r="0" b="3175"/>
            <wp:docPr id="7" name="Graphic 6">
              <a:extLst xmlns:a="http://schemas.openxmlformats.org/drawingml/2006/main">
                <a:ext uri="{FF2B5EF4-FFF2-40B4-BE49-F238E27FC236}">
                  <a16:creationId xmlns:a16="http://schemas.microsoft.com/office/drawing/2014/main" id="{A5E3DB64-3F22-4A37-A647-973B89B776F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6">
                      <a:extLst>
                        <a:ext uri="{FF2B5EF4-FFF2-40B4-BE49-F238E27FC236}">
                          <a16:creationId xmlns:a16="http://schemas.microsoft.com/office/drawing/2014/main" id="{A5E3DB64-3F22-4A37-A647-973B89B776F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3745" cy="386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9C03A" w14:textId="2D981B2D" w:rsidR="005A6535" w:rsidRDefault="005A6535" w:rsidP="005A6535">
      <w:pPr>
        <w:pStyle w:val="Caption"/>
        <w:jc w:val="center"/>
      </w:pPr>
      <w:r>
        <w:t xml:space="preserve">Figure 2 NR PDCCH performance when </w:t>
      </w:r>
      <w:r w:rsidR="00CE692E">
        <w:t>puncturing</w:t>
      </w:r>
      <w:r>
        <w:t xml:space="preserve"> with 2 LTE PDCCHs of AL 4.</w:t>
      </w:r>
    </w:p>
    <w:p w14:paraId="543A0FB4" w14:textId="77777777" w:rsidR="005A6535" w:rsidRDefault="005A6535" w:rsidP="004145C0">
      <w:pPr>
        <w:jc w:val="center"/>
        <w:rPr>
          <w:noProof/>
        </w:rPr>
      </w:pPr>
    </w:p>
    <w:p w14:paraId="77518441" w14:textId="36398058" w:rsidR="003E4AD9" w:rsidRDefault="003E4AD9" w:rsidP="00842A32">
      <w:r w:rsidRPr="003E4AD9">
        <w:rPr>
          <w:noProof/>
        </w:rPr>
        <w:lastRenderedPageBreak/>
        <w:drawing>
          <wp:inline distT="0" distB="0" distL="0" distR="0" wp14:anchorId="56FD8FCD" wp14:editId="58829186">
            <wp:extent cx="5793745" cy="3864387"/>
            <wp:effectExtent l="0" t="0" r="0" b="3175"/>
            <wp:docPr id="4" name="Graphic 3">
              <a:extLst xmlns:a="http://schemas.openxmlformats.org/drawingml/2006/main">
                <a:ext uri="{FF2B5EF4-FFF2-40B4-BE49-F238E27FC236}">
                  <a16:creationId xmlns:a16="http://schemas.microsoft.com/office/drawing/2014/main" id="{A6B77ACE-141E-47BA-8FD4-F06F6C3900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3">
                      <a:extLst>
                        <a:ext uri="{FF2B5EF4-FFF2-40B4-BE49-F238E27FC236}">
                          <a16:creationId xmlns:a16="http://schemas.microsoft.com/office/drawing/2014/main" id="{A6B77ACE-141E-47BA-8FD4-F06F6C3900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3745" cy="386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3C063" w14:textId="79E1CC8E" w:rsidR="005A6535" w:rsidRDefault="005A6535" w:rsidP="005A6535">
      <w:pPr>
        <w:pStyle w:val="Caption"/>
        <w:jc w:val="center"/>
      </w:pPr>
      <w:r>
        <w:t xml:space="preserve">Figure 3 NR PDCCH performance when </w:t>
      </w:r>
      <w:r w:rsidR="00CE692E">
        <w:t>puncturing</w:t>
      </w:r>
      <w:r>
        <w:t xml:space="preserve"> with 2 LTE PDCCHs of AL 8.</w:t>
      </w:r>
    </w:p>
    <w:p w14:paraId="15DA4BE8" w14:textId="746CE943" w:rsidR="003E4AD9" w:rsidRDefault="003E4AD9" w:rsidP="00842A32"/>
    <w:p w14:paraId="4D5D4794" w14:textId="053F986E" w:rsidR="003E4AD9" w:rsidRDefault="005A6535" w:rsidP="00842A32">
      <w:r>
        <w:t xml:space="preserve">Therefore, we have the following </w:t>
      </w:r>
      <w:proofErr w:type="spellStart"/>
      <w:r w:rsidR="00CE692E">
        <w:t>ob</w:t>
      </w:r>
      <w:r w:rsidR="00BC1986">
        <w:t>s</w:t>
      </w:r>
      <w:r w:rsidR="00CE692E">
        <w:t>evation</w:t>
      </w:r>
      <w:proofErr w:type="spellEnd"/>
      <w:r w:rsidR="00CE692E">
        <w:t xml:space="preserve"> and </w:t>
      </w:r>
      <w:r>
        <w:t>proposal:</w:t>
      </w:r>
    </w:p>
    <w:p w14:paraId="36896861" w14:textId="646B2F1A" w:rsidR="00842A32" w:rsidRDefault="00CE692E" w:rsidP="00842A32">
      <w:r>
        <w:rPr>
          <w:b/>
          <w:bCs/>
        </w:rPr>
        <w:t>Observation</w:t>
      </w:r>
      <w:r w:rsidR="00BC1986">
        <w:rPr>
          <w:b/>
          <w:bCs/>
        </w:rPr>
        <w:t xml:space="preserve"> 2</w:t>
      </w:r>
      <w:r w:rsidR="00842A32">
        <w:rPr>
          <w:b/>
          <w:bCs/>
        </w:rPr>
        <w:t xml:space="preserve">: </w:t>
      </w:r>
      <w:r w:rsidRPr="00957F29">
        <w:rPr>
          <w:i/>
          <w:iCs/>
        </w:rPr>
        <w:t>Allowing NR PDCCH resource overlapping gives more flexibility of NR control channel scheduling in symbols where LTE PDCCH/CRS are also present, which is the common case in DSS scenarios</w:t>
      </w:r>
      <w:r w:rsidR="00BC1986">
        <w:rPr>
          <w:i/>
          <w:iCs/>
        </w:rPr>
        <w:t xml:space="preserve">. Channel estimation works well for both LTE and NR. </w:t>
      </w:r>
      <w:r w:rsidR="00BC1986" w:rsidRPr="00BC1986">
        <w:rPr>
          <w:i/>
          <w:iCs/>
        </w:rPr>
        <w:t>Puncturing can be handled by polar coding and allocating larger ALs to NR PDCCH</w:t>
      </w:r>
      <w:r w:rsidRPr="00957F29">
        <w:rPr>
          <w:i/>
          <w:iCs/>
        </w:rPr>
        <w:t>.</w:t>
      </w:r>
    </w:p>
    <w:bookmarkEnd w:id="2"/>
    <w:p w14:paraId="10445A01" w14:textId="480CC7E1" w:rsidR="00885580" w:rsidRDefault="007820D0" w:rsidP="00885580">
      <w:pPr>
        <w:pStyle w:val="Heading1"/>
      </w:pPr>
      <w:r>
        <w:t>Conclusion</w:t>
      </w:r>
    </w:p>
    <w:p w14:paraId="6E51C40F" w14:textId="2A54ED8B" w:rsidR="00736BEF" w:rsidRDefault="00736BEF" w:rsidP="00736BEF">
      <w:pPr>
        <w:tabs>
          <w:tab w:val="left" w:pos="8865"/>
        </w:tabs>
      </w:pPr>
      <w:r w:rsidRPr="004B56FD">
        <w:t xml:space="preserve">In this contribution, we discussed </w:t>
      </w:r>
      <w:r w:rsidR="00B46E84">
        <w:t>in detail the possibility of</w:t>
      </w:r>
      <w:r w:rsidR="00B46E84" w:rsidRPr="00BD5CA1">
        <w:t xml:space="preserve"> support</w:t>
      </w:r>
      <w:r w:rsidR="00B46E84">
        <w:t xml:space="preserve">ing NR </w:t>
      </w:r>
      <w:r w:rsidR="00B46E84" w:rsidRPr="00BD5CA1">
        <w:t>PDCCH</w:t>
      </w:r>
      <w:r w:rsidR="00B46E84">
        <w:t xml:space="preserve"> </w:t>
      </w:r>
      <w:r w:rsidR="00B46E84" w:rsidRPr="00BD5CA1">
        <w:t>overlapping with</w:t>
      </w:r>
      <w:r w:rsidR="00B46E84">
        <w:t xml:space="preserve"> </w:t>
      </w:r>
      <w:r w:rsidR="00B46E84" w:rsidRPr="00BD5CA1">
        <w:t xml:space="preserve">LTE CRS </w:t>
      </w:r>
      <w:r w:rsidR="00B46E84">
        <w:t xml:space="preserve">and </w:t>
      </w:r>
      <w:r w:rsidR="00B46E84" w:rsidRPr="002C742F">
        <w:t>NR PDCCH puncturing around LTE PDCCH</w:t>
      </w:r>
      <w:r w:rsidR="00B46E84">
        <w:t xml:space="preserve"> to allow for a 2OS NR CORESET</w:t>
      </w:r>
      <w:r w:rsidRPr="004B56FD">
        <w:t>. Based on the discussion, we made the following</w:t>
      </w:r>
      <w:r w:rsidR="00122EF6">
        <w:t xml:space="preserve"> observations and</w:t>
      </w:r>
      <w:r w:rsidRPr="004B56FD">
        <w:t xml:space="preserve"> proposals</w:t>
      </w:r>
      <w:r w:rsidR="00B46E84">
        <w:t>:</w:t>
      </w:r>
    </w:p>
    <w:p w14:paraId="03544586" w14:textId="77777777" w:rsidR="00C137C8" w:rsidRPr="00942F15" w:rsidRDefault="00C137C8" w:rsidP="00C137C8">
      <w:pPr>
        <w:jc w:val="both"/>
      </w:pPr>
      <w:r w:rsidRPr="00424ED6">
        <w:rPr>
          <w:rFonts w:eastAsia="Times New Roman"/>
          <w:b/>
          <w:bCs/>
          <w:i/>
          <w:iCs/>
        </w:rPr>
        <w:t>Observation</w:t>
      </w:r>
      <w:r>
        <w:rPr>
          <w:rFonts w:eastAsia="Times New Roman"/>
          <w:b/>
          <w:bCs/>
          <w:i/>
          <w:iCs/>
        </w:rPr>
        <w:t xml:space="preserve"> 1</w:t>
      </w:r>
      <w:r w:rsidRPr="00424ED6">
        <w:rPr>
          <w:rFonts w:eastAsia="Times New Roman"/>
          <w:b/>
          <w:bCs/>
          <w:i/>
          <w:iCs/>
        </w:rPr>
        <w:t>:</w:t>
      </w:r>
      <w:r>
        <w:rPr>
          <w:rFonts w:eastAsia="Times New Roman"/>
          <w:b/>
          <w:bCs/>
          <w:i/>
          <w:iCs/>
        </w:rPr>
        <w:t xml:space="preserve"> </w:t>
      </w:r>
      <w:proofErr w:type="spellStart"/>
      <w:r>
        <w:rPr>
          <w:rFonts w:eastAsia="Times New Roman"/>
          <w:b/>
          <w:bCs/>
          <w:i/>
          <w:iCs/>
        </w:rPr>
        <w:t>Accordign</w:t>
      </w:r>
      <w:proofErr w:type="spellEnd"/>
      <w:r>
        <w:rPr>
          <w:rFonts w:eastAsia="Times New Roman"/>
          <w:b/>
          <w:bCs/>
          <w:i/>
          <w:iCs/>
        </w:rPr>
        <w:t xml:space="preserve"> to current specifications, </w:t>
      </w:r>
      <w:r>
        <w:rPr>
          <w:rFonts w:eastAsia="Times New Roman"/>
          <w:i/>
          <w:iCs/>
        </w:rPr>
        <w:t>t</w:t>
      </w:r>
      <w:r w:rsidRPr="00C87345">
        <w:rPr>
          <w:rFonts w:eastAsia="Times New Roman"/>
          <w:i/>
          <w:iCs/>
        </w:rPr>
        <w:t>he UE is not required to monitor the</w:t>
      </w:r>
      <w:r>
        <w:rPr>
          <w:rFonts w:eastAsia="Times New Roman"/>
          <w:i/>
          <w:iCs/>
        </w:rPr>
        <w:t xml:space="preserve"> NR</w:t>
      </w:r>
      <w:r w:rsidRPr="00C87345">
        <w:rPr>
          <w:rFonts w:eastAsia="Times New Roman"/>
          <w:i/>
          <w:iCs/>
        </w:rPr>
        <w:t xml:space="preserve"> PDCCH candidate</w:t>
      </w:r>
      <w:r>
        <w:rPr>
          <w:rFonts w:eastAsia="Times New Roman"/>
          <w:i/>
          <w:iCs/>
        </w:rPr>
        <w:t xml:space="preserve"> when it overlaps with LTE-CRS.</w:t>
      </w:r>
      <w:r w:rsidRPr="00CF6C26"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C</w:t>
      </w:r>
      <w:r w:rsidRPr="00CF6C26">
        <w:rPr>
          <w:rFonts w:eastAsia="Times New Roman"/>
          <w:i/>
          <w:iCs/>
        </w:rPr>
        <w:t>hange</w:t>
      </w:r>
      <w:r>
        <w:rPr>
          <w:rFonts w:eastAsia="Times New Roman"/>
          <w:i/>
          <w:iCs/>
        </w:rPr>
        <w:t xml:space="preserve">s to the </w:t>
      </w:r>
      <w:proofErr w:type="spellStart"/>
      <w:r>
        <w:rPr>
          <w:rFonts w:eastAsia="Times New Roman"/>
          <w:i/>
          <w:iCs/>
        </w:rPr>
        <w:t>specificiation</w:t>
      </w:r>
      <w:proofErr w:type="spellEnd"/>
      <w:r>
        <w:rPr>
          <w:rFonts w:eastAsia="Times New Roman"/>
          <w:i/>
          <w:iCs/>
        </w:rPr>
        <w:t xml:space="preserve"> are required</w:t>
      </w:r>
      <w:r w:rsidRPr="00CF6C26">
        <w:rPr>
          <w:rFonts w:eastAsia="Times New Roman"/>
          <w:i/>
          <w:iCs/>
        </w:rPr>
        <w:t xml:space="preserve"> to support LTE CRS overlapping</w:t>
      </w:r>
      <w:r>
        <w:rPr>
          <w:rFonts w:eastAsia="Times New Roman"/>
          <w:i/>
          <w:iCs/>
        </w:rPr>
        <w:t xml:space="preserve"> and 2 OS</w:t>
      </w:r>
      <w:r w:rsidRPr="00CF6C26"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 xml:space="preserve">NR </w:t>
      </w:r>
      <w:r w:rsidRPr="00CF6C26">
        <w:rPr>
          <w:rFonts w:eastAsia="Times New Roman"/>
          <w:i/>
          <w:iCs/>
        </w:rPr>
        <w:t>PDCCH</w:t>
      </w:r>
      <w:r>
        <w:rPr>
          <w:rFonts w:eastAsia="Times New Roman"/>
          <w:b/>
          <w:bCs/>
          <w:i/>
          <w:iCs/>
        </w:rPr>
        <w:t>.</w:t>
      </w:r>
      <w:r w:rsidRPr="00C87345">
        <w:rPr>
          <w:rFonts w:eastAsia="Times New Roman"/>
          <w:b/>
          <w:bCs/>
          <w:i/>
          <w:iCs/>
        </w:rPr>
        <w:t xml:space="preserve"> </w:t>
      </w:r>
    </w:p>
    <w:p w14:paraId="62D8E386" w14:textId="74C1F4AA" w:rsidR="00BC1986" w:rsidRDefault="00BC1986" w:rsidP="00BC1986">
      <w:pPr>
        <w:rPr>
          <w:i/>
          <w:iCs/>
        </w:rPr>
      </w:pPr>
      <w:r>
        <w:rPr>
          <w:b/>
          <w:bCs/>
        </w:rPr>
        <w:t xml:space="preserve">Observation 2: </w:t>
      </w:r>
      <w:r w:rsidRPr="00957F29">
        <w:rPr>
          <w:i/>
          <w:iCs/>
        </w:rPr>
        <w:t>Allowing NR PDCCH resource overlapping gives more flexibility of NR control channel scheduling in symbols where LTE PDCCH/CRS are also present, which is the common case in DSS scenarios</w:t>
      </w:r>
      <w:r>
        <w:rPr>
          <w:i/>
          <w:iCs/>
        </w:rPr>
        <w:t xml:space="preserve">. Channel estimation works well for both LTE and NR. </w:t>
      </w:r>
      <w:r w:rsidRPr="00BC1986">
        <w:rPr>
          <w:i/>
          <w:iCs/>
        </w:rPr>
        <w:t>Puncturing can be handled by polar coding and allocating larger ALs to NR PDCCH</w:t>
      </w:r>
      <w:r w:rsidRPr="00957F29">
        <w:rPr>
          <w:i/>
          <w:iCs/>
        </w:rPr>
        <w:t>.</w:t>
      </w:r>
    </w:p>
    <w:p w14:paraId="69E61B3F" w14:textId="75842942" w:rsidR="00B5561C" w:rsidRDefault="00C137C8" w:rsidP="00C137C8">
      <w:proofErr w:type="gramStart"/>
      <w:r w:rsidRPr="00B5561C">
        <w:rPr>
          <w:b/>
          <w:bCs/>
        </w:rPr>
        <w:t>Proposal:</w:t>
      </w:r>
      <w:r>
        <w:t>.</w:t>
      </w:r>
      <w:proofErr w:type="gramEnd"/>
      <w:r w:rsidRPr="00CE692E">
        <w:t xml:space="preserve"> </w:t>
      </w:r>
      <w:r>
        <w:t xml:space="preserve">Configuring a CORESET and search-space-set carrying a </w:t>
      </w:r>
      <w:r w:rsidRPr="00BC1986">
        <w:rPr>
          <w:i/>
          <w:iCs/>
        </w:rPr>
        <w:t xml:space="preserve">NR PDCCH </w:t>
      </w:r>
      <w:r>
        <w:rPr>
          <w:i/>
          <w:iCs/>
        </w:rPr>
        <w:t>to partially</w:t>
      </w:r>
      <w:r w:rsidRPr="00BC1986">
        <w:rPr>
          <w:i/>
          <w:iCs/>
        </w:rPr>
        <w:t xml:space="preserve"> overlap with</w:t>
      </w:r>
      <w:r>
        <w:rPr>
          <w:i/>
          <w:iCs/>
        </w:rPr>
        <w:t xml:space="preserve"> the configured</w:t>
      </w:r>
      <w:r w:rsidRPr="00BC1986">
        <w:rPr>
          <w:i/>
          <w:iCs/>
        </w:rPr>
        <w:t xml:space="preserve"> LTE CRS </w:t>
      </w:r>
      <w:r>
        <w:rPr>
          <w:i/>
          <w:iCs/>
        </w:rPr>
        <w:t xml:space="preserve">rate-matching pattern </w:t>
      </w:r>
      <w:r w:rsidRPr="00BC1986">
        <w:rPr>
          <w:i/>
          <w:iCs/>
        </w:rPr>
        <w:t xml:space="preserve">should </w:t>
      </w:r>
      <w:r>
        <w:rPr>
          <w:i/>
          <w:iCs/>
        </w:rPr>
        <w:t>not result in dropping of the PDCCH candidate, which is the currently specified behaviour</w:t>
      </w:r>
      <w:r w:rsidRPr="00BC1986">
        <w:rPr>
          <w:i/>
          <w:iCs/>
        </w:rPr>
        <w:t>.</w:t>
      </w:r>
    </w:p>
    <w:p w14:paraId="53CD9119" w14:textId="01D1D507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44365AF0" w:rsidR="00205A4B" w:rsidRPr="00C11700" w:rsidRDefault="00205A4B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C11700">
        <w:rPr>
          <w:sz w:val="20"/>
          <w:szCs w:val="20"/>
          <w:lang w:val="en-US"/>
        </w:rPr>
        <w:t>R</w:t>
      </w:r>
      <w:r w:rsidR="003A7127" w:rsidRPr="00C11700">
        <w:rPr>
          <w:sz w:val="20"/>
          <w:szCs w:val="20"/>
          <w:lang w:val="en-US"/>
        </w:rPr>
        <w:t>P-193260</w:t>
      </w:r>
      <w:r w:rsidR="003A7127" w:rsidRPr="00C11700">
        <w:rPr>
          <w:sz w:val="20"/>
          <w:szCs w:val="20"/>
          <w:lang w:val="en-US"/>
        </w:rPr>
        <w:tab/>
        <w:t>New WID on NR Dynamic Spectrum Sharing (DSS)</w:t>
      </w:r>
    </w:p>
    <w:p w14:paraId="028360C4" w14:textId="3CCE8009" w:rsidR="00827B5C" w:rsidRDefault="00124C77" w:rsidP="003A7127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TS 38.21</w:t>
      </w:r>
      <w:r w:rsidR="00B5561C">
        <w:rPr>
          <w:sz w:val="20"/>
          <w:szCs w:val="20"/>
          <w:lang w:val="en-US"/>
        </w:rPr>
        <w:t>1</w:t>
      </w:r>
    </w:p>
    <w:p w14:paraId="37D242FD" w14:textId="5B9E63BD" w:rsidR="008F0F05" w:rsidRPr="008F0F05" w:rsidRDefault="00B46E84" w:rsidP="008F0F05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TS 38.213</w:t>
      </w:r>
      <w:r w:rsidR="008F0F05">
        <w:br w:type="page"/>
      </w:r>
    </w:p>
    <w:p w14:paraId="56CE27C5" w14:textId="77777777" w:rsidR="00205A4B" w:rsidRDefault="00205A4B" w:rsidP="003A7127"/>
    <w:p w14:paraId="3CA36BD3" w14:textId="77777777" w:rsidR="008F0F05" w:rsidRDefault="008F0F05" w:rsidP="008F0F05">
      <w:pPr>
        <w:pStyle w:val="Heading1"/>
        <w:numPr>
          <w:ilvl w:val="0"/>
          <w:numId w:val="0"/>
        </w:numPr>
        <w:ind w:left="432" w:hanging="432"/>
      </w:pPr>
      <w:r>
        <w:t>Annex A – Simulation Parameters</w:t>
      </w:r>
    </w:p>
    <w:tbl>
      <w:tblPr>
        <w:tblStyle w:val="Tabellengitternetz2"/>
        <w:tblpPr w:leftFromText="180" w:rightFromText="180" w:vertAnchor="text" w:horzAnchor="margin" w:tblpXSpec="center" w:tblpY="63"/>
        <w:tblW w:w="9067" w:type="dxa"/>
        <w:tblLook w:val="0420" w:firstRow="1" w:lastRow="0" w:firstColumn="0" w:lastColumn="0" w:noHBand="0" w:noVBand="1"/>
      </w:tblPr>
      <w:tblGrid>
        <w:gridCol w:w="3256"/>
        <w:gridCol w:w="2551"/>
        <w:gridCol w:w="3260"/>
      </w:tblGrid>
      <w:tr w:rsidR="008F0F05" w:rsidRPr="00B658A3" w14:paraId="6E370B96" w14:textId="77777777" w:rsidTr="00A85AAC">
        <w:trPr>
          <w:trHeight w:val="323"/>
        </w:trPr>
        <w:tc>
          <w:tcPr>
            <w:tcW w:w="3256" w:type="dxa"/>
            <w:hideMark/>
          </w:tcPr>
          <w:p w14:paraId="35669965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b/>
                <w:bCs/>
                <w:lang w:val="en-US"/>
              </w:rPr>
              <w:t>Simulation parameters</w:t>
            </w:r>
          </w:p>
        </w:tc>
        <w:tc>
          <w:tcPr>
            <w:tcW w:w="5811" w:type="dxa"/>
            <w:gridSpan w:val="2"/>
            <w:hideMark/>
          </w:tcPr>
          <w:p w14:paraId="3C178ADD" w14:textId="77777777" w:rsidR="008F0F05" w:rsidRPr="00B658A3" w:rsidRDefault="008F0F05" w:rsidP="00A85AAC">
            <w:pPr>
              <w:spacing w:before="120" w:after="120"/>
              <w:jc w:val="center"/>
              <w:rPr>
                <w:lang w:val="en-US"/>
              </w:rPr>
            </w:pPr>
            <w:r w:rsidRPr="00B658A3">
              <w:rPr>
                <w:b/>
                <w:bCs/>
                <w:lang w:val="en-US"/>
              </w:rPr>
              <w:t>Values</w:t>
            </w:r>
          </w:p>
        </w:tc>
      </w:tr>
      <w:tr w:rsidR="008F0F05" w:rsidRPr="00B658A3" w14:paraId="14F04D3E" w14:textId="77777777" w:rsidTr="00A85AAC">
        <w:trPr>
          <w:trHeight w:val="323"/>
        </w:trPr>
        <w:tc>
          <w:tcPr>
            <w:tcW w:w="3256" w:type="dxa"/>
            <w:hideMark/>
          </w:tcPr>
          <w:p w14:paraId="50C46863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Cell</w:t>
            </w:r>
          </w:p>
        </w:tc>
        <w:tc>
          <w:tcPr>
            <w:tcW w:w="2551" w:type="dxa"/>
            <w:hideMark/>
          </w:tcPr>
          <w:p w14:paraId="19E57136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NR</w:t>
            </w:r>
          </w:p>
        </w:tc>
        <w:tc>
          <w:tcPr>
            <w:tcW w:w="3260" w:type="dxa"/>
            <w:hideMark/>
          </w:tcPr>
          <w:p w14:paraId="1234F6E4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LTE</w:t>
            </w:r>
          </w:p>
        </w:tc>
      </w:tr>
      <w:tr w:rsidR="008F0F05" w:rsidRPr="00B658A3" w14:paraId="3B770DC6" w14:textId="77777777" w:rsidTr="00A85AAC">
        <w:trPr>
          <w:trHeight w:val="323"/>
        </w:trPr>
        <w:tc>
          <w:tcPr>
            <w:tcW w:w="3256" w:type="dxa"/>
            <w:hideMark/>
          </w:tcPr>
          <w:p w14:paraId="61CFF0C7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Carrier frequency</w:t>
            </w:r>
          </w:p>
        </w:tc>
        <w:tc>
          <w:tcPr>
            <w:tcW w:w="2551" w:type="dxa"/>
            <w:hideMark/>
          </w:tcPr>
          <w:p w14:paraId="0154F76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850MHz</w:t>
            </w:r>
          </w:p>
        </w:tc>
        <w:tc>
          <w:tcPr>
            <w:tcW w:w="3260" w:type="dxa"/>
            <w:hideMark/>
          </w:tcPr>
          <w:p w14:paraId="33A426F3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850MHz</w:t>
            </w:r>
          </w:p>
        </w:tc>
      </w:tr>
      <w:tr w:rsidR="008F0F05" w:rsidRPr="00B658A3" w14:paraId="3A4241F8" w14:textId="77777777" w:rsidTr="00A85AAC">
        <w:trPr>
          <w:trHeight w:val="323"/>
        </w:trPr>
        <w:tc>
          <w:tcPr>
            <w:tcW w:w="3256" w:type="dxa"/>
            <w:hideMark/>
          </w:tcPr>
          <w:p w14:paraId="61582D92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Subcarrier spacing</w:t>
            </w:r>
          </w:p>
        </w:tc>
        <w:tc>
          <w:tcPr>
            <w:tcW w:w="2551" w:type="dxa"/>
            <w:hideMark/>
          </w:tcPr>
          <w:p w14:paraId="0ED92AE2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15KHz</w:t>
            </w:r>
          </w:p>
        </w:tc>
        <w:tc>
          <w:tcPr>
            <w:tcW w:w="3260" w:type="dxa"/>
            <w:hideMark/>
          </w:tcPr>
          <w:p w14:paraId="3C4EE8B5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15KHz</w:t>
            </w:r>
          </w:p>
        </w:tc>
      </w:tr>
      <w:tr w:rsidR="008F0F05" w:rsidRPr="00B658A3" w14:paraId="38F438A3" w14:textId="77777777" w:rsidTr="00A85AAC">
        <w:trPr>
          <w:trHeight w:val="323"/>
        </w:trPr>
        <w:tc>
          <w:tcPr>
            <w:tcW w:w="3256" w:type="dxa"/>
            <w:hideMark/>
          </w:tcPr>
          <w:p w14:paraId="1AE9953F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System bandwidth</w:t>
            </w:r>
          </w:p>
        </w:tc>
        <w:tc>
          <w:tcPr>
            <w:tcW w:w="2551" w:type="dxa"/>
            <w:hideMark/>
          </w:tcPr>
          <w:p w14:paraId="0E0F56AD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20MHz</w:t>
            </w:r>
          </w:p>
        </w:tc>
        <w:tc>
          <w:tcPr>
            <w:tcW w:w="3260" w:type="dxa"/>
            <w:hideMark/>
          </w:tcPr>
          <w:p w14:paraId="7D7CD494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20MHz</w:t>
            </w:r>
          </w:p>
        </w:tc>
      </w:tr>
      <w:tr w:rsidR="008F0F05" w:rsidRPr="00B658A3" w14:paraId="28B6C202" w14:textId="77777777" w:rsidTr="00A85AAC">
        <w:trPr>
          <w:trHeight w:val="323"/>
        </w:trPr>
        <w:tc>
          <w:tcPr>
            <w:tcW w:w="3256" w:type="dxa"/>
            <w:hideMark/>
          </w:tcPr>
          <w:p w14:paraId="0C2D9D42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RB number</w:t>
            </w:r>
          </w:p>
        </w:tc>
        <w:tc>
          <w:tcPr>
            <w:tcW w:w="2551" w:type="dxa"/>
            <w:hideMark/>
          </w:tcPr>
          <w:p w14:paraId="4CF6B0DC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106RB</w:t>
            </w:r>
          </w:p>
        </w:tc>
        <w:tc>
          <w:tcPr>
            <w:tcW w:w="3260" w:type="dxa"/>
            <w:hideMark/>
          </w:tcPr>
          <w:p w14:paraId="2EEBD77E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100RB</w:t>
            </w:r>
          </w:p>
        </w:tc>
      </w:tr>
      <w:tr w:rsidR="008F0F05" w:rsidRPr="00B658A3" w14:paraId="294B5567" w14:textId="77777777" w:rsidTr="00A85AAC">
        <w:trPr>
          <w:trHeight w:val="323"/>
        </w:trPr>
        <w:tc>
          <w:tcPr>
            <w:tcW w:w="3256" w:type="dxa"/>
            <w:hideMark/>
          </w:tcPr>
          <w:p w14:paraId="063D9A47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COREST symbol indices</w:t>
            </w:r>
          </w:p>
        </w:tc>
        <w:tc>
          <w:tcPr>
            <w:tcW w:w="2551" w:type="dxa"/>
            <w:hideMark/>
          </w:tcPr>
          <w:p w14:paraId="04543737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0-1</w:t>
            </w:r>
          </w:p>
        </w:tc>
        <w:tc>
          <w:tcPr>
            <w:tcW w:w="3260" w:type="dxa"/>
            <w:hideMark/>
          </w:tcPr>
          <w:p w14:paraId="2DD6ECE8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</w:tr>
      <w:tr w:rsidR="008F0F05" w:rsidRPr="00B658A3" w14:paraId="41E65AC3" w14:textId="77777777" w:rsidTr="00A85AAC">
        <w:trPr>
          <w:trHeight w:val="323"/>
        </w:trPr>
        <w:tc>
          <w:tcPr>
            <w:tcW w:w="3256" w:type="dxa"/>
            <w:hideMark/>
          </w:tcPr>
          <w:p w14:paraId="4A181115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CORESET RB</w:t>
            </w:r>
          </w:p>
        </w:tc>
        <w:tc>
          <w:tcPr>
            <w:tcW w:w="2551" w:type="dxa"/>
            <w:hideMark/>
          </w:tcPr>
          <w:p w14:paraId="1854231B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102</w:t>
            </w:r>
          </w:p>
        </w:tc>
        <w:tc>
          <w:tcPr>
            <w:tcW w:w="3260" w:type="dxa"/>
            <w:hideMark/>
          </w:tcPr>
          <w:p w14:paraId="6ED3796E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</w:tr>
      <w:tr w:rsidR="008F0F05" w:rsidRPr="00B658A3" w14:paraId="11630CA9" w14:textId="77777777" w:rsidTr="00A85AAC">
        <w:trPr>
          <w:trHeight w:val="323"/>
        </w:trPr>
        <w:tc>
          <w:tcPr>
            <w:tcW w:w="3256" w:type="dxa"/>
            <w:hideMark/>
          </w:tcPr>
          <w:p w14:paraId="3D34B09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CCE-to-REG-mapping</w:t>
            </w:r>
          </w:p>
        </w:tc>
        <w:tc>
          <w:tcPr>
            <w:tcW w:w="2551" w:type="dxa"/>
            <w:hideMark/>
          </w:tcPr>
          <w:p w14:paraId="2967BB8B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Non-interleaved</w:t>
            </w:r>
          </w:p>
        </w:tc>
        <w:tc>
          <w:tcPr>
            <w:tcW w:w="3260" w:type="dxa"/>
            <w:hideMark/>
          </w:tcPr>
          <w:p w14:paraId="0B9294CC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</w:tr>
      <w:tr w:rsidR="008F0F05" w:rsidRPr="00B658A3" w14:paraId="488CFA4A" w14:textId="77777777" w:rsidTr="00A85AAC">
        <w:trPr>
          <w:trHeight w:val="323"/>
        </w:trPr>
        <w:tc>
          <w:tcPr>
            <w:tcW w:w="3256" w:type="dxa"/>
            <w:hideMark/>
          </w:tcPr>
          <w:p w14:paraId="1FE96BDD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REG bundle size</w:t>
            </w:r>
          </w:p>
        </w:tc>
        <w:tc>
          <w:tcPr>
            <w:tcW w:w="2551" w:type="dxa"/>
            <w:hideMark/>
          </w:tcPr>
          <w:p w14:paraId="58DBC72A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6</w:t>
            </w:r>
          </w:p>
        </w:tc>
        <w:tc>
          <w:tcPr>
            <w:tcW w:w="3260" w:type="dxa"/>
            <w:hideMark/>
          </w:tcPr>
          <w:p w14:paraId="027473D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</w:tr>
      <w:tr w:rsidR="008F0F05" w:rsidRPr="00B658A3" w14:paraId="132B4813" w14:textId="77777777" w:rsidTr="00A85AAC">
        <w:trPr>
          <w:trHeight w:val="323"/>
        </w:trPr>
        <w:tc>
          <w:tcPr>
            <w:tcW w:w="3256" w:type="dxa"/>
            <w:hideMark/>
          </w:tcPr>
          <w:p w14:paraId="636AB40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DCI payload size</w:t>
            </w:r>
          </w:p>
        </w:tc>
        <w:tc>
          <w:tcPr>
            <w:tcW w:w="2551" w:type="dxa"/>
            <w:hideMark/>
          </w:tcPr>
          <w:p w14:paraId="0F89B53C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12 (AL-1)</w:t>
            </w:r>
          </w:p>
          <w:p w14:paraId="30FA6ADB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24(AL-2)</w:t>
            </w:r>
          </w:p>
          <w:p w14:paraId="11E225E8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36 (AL-4)</w:t>
            </w:r>
          </w:p>
          <w:p w14:paraId="2BD500A9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48(AL-8)</w:t>
            </w:r>
          </w:p>
          <w:p w14:paraId="258722E5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64 (AL-16)</w:t>
            </w:r>
          </w:p>
        </w:tc>
        <w:tc>
          <w:tcPr>
            <w:tcW w:w="3260" w:type="dxa"/>
            <w:hideMark/>
          </w:tcPr>
          <w:p w14:paraId="4C527A51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</w:tr>
      <w:tr w:rsidR="008F0F05" w:rsidRPr="00B658A3" w14:paraId="21C67DBD" w14:textId="77777777" w:rsidTr="00A85AAC">
        <w:trPr>
          <w:trHeight w:val="323"/>
        </w:trPr>
        <w:tc>
          <w:tcPr>
            <w:tcW w:w="3256" w:type="dxa"/>
            <w:hideMark/>
          </w:tcPr>
          <w:p w14:paraId="7E78C1C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Num CCE</w:t>
            </w:r>
          </w:p>
        </w:tc>
        <w:tc>
          <w:tcPr>
            <w:tcW w:w="2551" w:type="dxa"/>
            <w:hideMark/>
          </w:tcPr>
          <w:p w14:paraId="79AF47C2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1/2/4/8/16</w:t>
            </w:r>
          </w:p>
        </w:tc>
        <w:tc>
          <w:tcPr>
            <w:tcW w:w="3260" w:type="dxa"/>
            <w:hideMark/>
          </w:tcPr>
          <w:p w14:paraId="5460D48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</w:tr>
      <w:tr w:rsidR="008F0F05" w:rsidRPr="00B658A3" w14:paraId="6DA1566F" w14:textId="77777777" w:rsidTr="00A85AAC">
        <w:trPr>
          <w:trHeight w:val="323"/>
        </w:trPr>
        <w:tc>
          <w:tcPr>
            <w:tcW w:w="3256" w:type="dxa"/>
            <w:hideMark/>
          </w:tcPr>
          <w:p w14:paraId="56D279B3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Start CCE</w:t>
            </w:r>
          </w:p>
        </w:tc>
        <w:tc>
          <w:tcPr>
            <w:tcW w:w="2551" w:type="dxa"/>
            <w:hideMark/>
          </w:tcPr>
          <w:p w14:paraId="6393B126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4 (AL-1)</w:t>
            </w:r>
          </w:p>
          <w:p w14:paraId="33FFF8F0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4(AL-2)</w:t>
            </w:r>
          </w:p>
          <w:p w14:paraId="7DFDEBDF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4(AL-4)</w:t>
            </w:r>
          </w:p>
          <w:p w14:paraId="114EBE4E" w14:textId="77777777" w:rsidR="008F0F05" w:rsidRDefault="008F0F05" w:rsidP="00A85AAC">
            <w:pPr>
              <w:rPr>
                <w:lang w:val="en-US"/>
              </w:rPr>
            </w:pPr>
            <w:r w:rsidRPr="00B658A3">
              <w:rPr>
                <w:lang w:val="en-US"/>
              </w:rPr>
              <w:t>8(AL-8)</w:t>
            </w:r>
          </w:p>
          <w:p w14:paraId="14E76638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16(AL-16)</w:t>
            </w:r>
          </w:p>
        </w:tc>
        <w:tc>
          <w:tcPr>
            <w:tcW w:w="3260" w:type="dxa"/>
            <w:hideMark/>
          </w:tcPr>
          <w:p w14:paraId="0C492872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</w:p>
        </w:tc>
      </w:tr>
      <w:tr w:rsidR="008F0F05" w:rsidRPr="00B658A3" w14:paraId="61915624" w14:textId="77777777" w:rsidTr="00A85AAC">
        <w:trPr>
          <w:trHeight w:val="323"/>
        </w:trPr>
        <w:tc>
          <w:tcPr>
            <w:tcW w:w="3256" w:type="dxa"/>
            <w:hideMark/>
          </w:tcPr>
          <w:p w14:paraId="617DC2EE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Cell-specific RS</w:t>
            </w:r>
          </w:p>
        </w:tc>
        <w:tc>
          <w:tcPr>
            <w:tcW w:w="2551" w:type="dxa"/>
            <w:hideMark/>
          </w:tcPr>
          <w:p w14:paraId="30ABFFCD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/</w:t>
            </w:r>
          </w:p>
        </w:tc>
        <w:tc>
          <w:tcPr>
            <w:tcW w:w="3260" w:type="dxa"/>
            <w:hideMark/>
          </w:tcPr>
          <w:p w14:paraId="51811F0F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1/4 port</w:t>
            </w:r>
          </w:p>
        </w:tc>
      </w:tr>
      <w:tr w:rsidR="008F0F05" w:rsidRPr="00B658A3" w14:paraId="48AA286B" w14:textId="77777777" w:rsidTr="00A85AAC">
        <w:trPr>
          <w:trHeight w:val="323"/>
        </w:trPr>
        <w:tc>
          <w:tcPr>
            <w:tcW w:w="3256" w:type="dxa"/>
            <w:hideMark/>
          </w:tcPr>
          <w:p w14:paraId="1FA29F2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Tx antenna number</w:t>
            </w:r>
          </w:p>
        </w:tc>
        <w:tc>
          <w:tcPr>
            <w:tcW w:w="5811" w:type="dxa"/>
            <w:gridSpan w:val="2"/>
            <w:hideMark/>
          </w:tcPr>
          <w:p w14:paraId="3CC0B9F1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4</w:t>
            </w:r>
          </w:p>
        </w:tc>
      </w:tr>
      <w:tr w:rsidR="008F0F05" w:rsidRPr="00B658A3" w14:paraId="4BCD9ECE" w14:textId="77777777" w:rsidTr="00A85AAC">
        <w:trPr>
          <w:trHeight w:val="323"/>
        </w:trPr>
        <w:tc>
          <w:tcPr>
            <w:tcW w:w="3256" w:type="dxa"/>
            <w:hideMark/>
          </w:tcPr>
          <w:p w14:paraId="42DD70DB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Channel estimation</w:t>
            </w:r>
          </w:p>
        </w:tc>
        <w:tc>
          <w:tcPr>
            <w:tcW w:w="5811" w:type="dxa"/>
            <w:gridSpan w:val="2"/>
            <w:hideMark/>
          </w:tcPr>
          <w:p w14:paraId="443F4F2F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MMSE-based Real CE</w:t>
            </w:r>
          </w:p>
        </w:tc>
      </w:tr>
      <w:tr w:rsidR="008F0F05" w:rsidRPr="00B658A3" w14:paraId="4D2AD5D3" w14:textId="77777777" w:rsidTr="00A85AAC">
        <w:trPr>
          <w:trHeight w:val="323"/>
        </w:trPr>
        <w:tc>
          <w:tcPr>
            <w:tcW w:w="3256" w:type="dxa"/>
            <w:hideMark/>
          </w:tcPr>
          <w:p w14:paraId="2A5231C9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Rx antenna number</w:t>
            </w:r>
          </w:p>
        </w:tc>
        <w:tc>
          <w:tcPr>
            <w:tcW w:w="5811" w:type="dxa"/>
            <w:gridSpan w:val="2"/>
            <w:hideMark/>
          </w:tcPr>
          <w:p w14:paraId="2E4CA38B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4</w:t>
            </w:r>
          </w:p>
        </w:tc>
      </w:tr>
      <w:tr w:rsidR="008F0F05" w:rsidRPr="00B658A3" w14:paraId="3E5C0C75" w14:textId="77777777" w:rsidTr="00A85AAC">
        <w:trPr>
          <w:trHeight w:val="323"/>
        </w:trPr>
        <w:tc>
          <w:tcPr>
            <w:tcW w:w="3256" w:type="dxa"/>
            <w:hideMark/>
          </w:tcPr>
          <w:p w14:paraId="7F59E0AE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Simulation channel</w:t>
            </w:r>
          </w:p>
        </w:tc>
        <w:tc>
          <w:tcPr>
            <w:tcW w:w="5811" w:type="dxa"/>
            <w:gridSpan w:val="2"/>
            <w:hideMark/>
          </w:tcPr>
          <w:p w14:paraId="360D7C08" w14:textId="77777777" w:rsidR="008F0F05" w:rsidRPr="00B658A3" w:rsidRDefault="008F0F05" w:rsidP="00A85AAC">
            <w:pPr>
              <w:spacing w:before="120" w:after="120"/>
              <w:rPr>
                <w:lang w:val="en-US"/>
              </w:rPr>
            </w:pPr>
            <w:r w:rsidRPr="00B658A3">
              <w:rPr>
                <w:lang w:val="en-US"/>
              </w:rPr>
              <w:t>EPA (3km/h)</w:t>
            </w:r>
          </w:p>
        </w:tc>
      </w:tr>
    </w:tbl>
    <w:p w14:paraId="16C5C857" w14:textId="77777777" w:rsidR="008F0F05" w:rsidRDefault="008F0F05" w:rsidP="003A7127"/>
    <w:p w14:paraId="7769D8C0" w14:textId="77777777" w:rsidR="002C6E9B" w:rsidRDefault="00827B5C" w:rsidP="00827B5C">
      <w:pPr>
        <w:pStyle w:val="Heading1"/>
        <w:numPr>
          <w:ilvl w:val="0"/>
          <w:numId w:val="0"/>
        </w:numPr>
        <w:ind w:left="432" w:hanging="432"/>
      </w:pPr>
      <w:r>
        <w:lastRenderedPageBreak/>
        <w:t>Annex B – TS38.</w:t>
      </w:r>
      <w:r w:rsidR="003E4AD9">
        <w:t>211</w:t>
      </w:r>
      <w:r>
        <w:t xml:space="preserve"> excerpt</w:t>
      </w:r>
      <w:r w:rsidR="00124C77">
        <w:t xml:space="preserve"> [2]</w:t>
      </w:r>
    </w:p>
    <w:p w14:paraId="3607F39E" w14:textId="6F791692" w:rsidR="002C6E9B" w:rsidRPr="00B46E84" w:rsidRDefault="002C6E9B" w:rsidP="00B46E84">
      <w:pPr>
        <w:pStyle w:val="Heading1"/>
        <w:numPr>
          <w:ilvl w:val="0"/>
          <w:numId w:val="0"/>
        </w:numPr>
        <w:rPr>
          <w:rFonts w:ascii="Times New Roman" w:hAnsi="Times New Roman"/>
          <w:sz w:val="20"/>
        </w:rPr>
      </w:pPr>
      <w:r w:rsidRPr="00B46E84">
        <w:rPr>
          <w:rFonts w:ascii="Times New Roman" w:hAnsi="Times New Roman"/>
          <w:sz w:val="20"/>
        </w:rPr>
        <w:t>38.211, section 7.3.2.2</w:t>
      </w:r>
    </w:p>
    <w:p w14:paraId="6A19D7C0" w14:textId="77777777" w:rsidR="002C6E9B" w:rsidRPr="00B46E84" w:rsidRDefault="002C6E9B" w:rsidP="00B46E84">
      <w:pPr>
        <w:pStyle w:val="Heading1"/>
        <w:numPr>
          <w:ilvl w:val="0"/>
          <w:numId w:val="0"/>
        </w:numPr>
        <w:rPr>
          <w:rFonts w:ascii="Times New Roman" w:hAnsi="Times New Roman"/>
          <w:sz w:val="20"/>
        </w:rPr>
      </w:pPr>
      <w:r w:rsidRPr="00B46E84">
        <w:rPr>
          <w:rFonts w:ascii="Times New Roman" w:hAnsi="Times New Roman"/>
          <w:sz w:val="20"/>
        </w:rPr>
        <w:t xml:space="preserve">“for both interleaved and non-interleaved mapping, the UE may assume </w:t>
      </w:r>
    </w:p>
    <w:p w14:paraId="7C76DB67" w14:textId="41DDB957" w:rsidR="002C6E9B" w:rsidRPr="00B46E84" w:rsidRDefault="002C6E9B" w:rsidP="00B46E84">
      <w:pPr>
        <w:pStyle w:val="Heading1"/>
        <w:numPr>
          <w:ilvl w:val="0"/>
          <w:numId w:val="0"/>
        </w:numPr>
        <w:rPr>
          <w:rFonts w:ascii="Times New Roman" w:hAnsi="Times New Roman"/>
          <w:sz w:val="20"/>
        </w:rPr>
      </w:pPr>
      <w:r w:rsidRPr="00B46E84">
        <w:rPr>
          <w:rFonts w:ascii="Times New Roman" w:hAnsi="Times New Roman"/>
          <w:sz w:val="20"/>
        </w:rPr>
        <w:t xml:space="preserve">the same precoding being used within a REG bundle if the higher-layer parameter </w:t>
      </w:r>
      <w:proofErr w:type="spellStart"/>
      <w:r w:rsidRPr="00B46E84">
        <w:rPr>
          <w:rFonts w:ascii="Times New Roman" w:hAnsi="Times New Roman"/>
          <w:sz w:val="20"/>
        </w:rPr>
        <w:t>precoderGranularity</w:t>
      </w:r>
      <w:proofErr w:type="spellEnd"/>
      <w:r w:rsidRPr="00B46E84">
        <w:rPr>
          <w:rFonts w:ascii="Times New Roman" w:hAnsi="Times New Roman"/>
          <w:sz w:val="20"/>
        </w:rPr>
        <w:t xml:space="preserve"> equals </w:t>
      </w:r>
      <w:proofErr w:type="spellStart"/>
      <w:r w:rsidRPr="00B46E84">
        <w:rPr>
          <w:rFonts w:ascii="Times New Roman" w:hAnsi="Times New Roman"/>
          <w:sz w:val="20"/>
        </w:rPr>
        <w:t>sameAsREG</w:t>
      </w:r>
      <w:proofErr w:type="spellEnd"/>
      <w:r w:rsidRPr="00B46E84">
        <w:rPr>
          <w:rFonts w:ascii="Times New Roman" w:hAnsi="Times New Roman"/>
          <w:sz w:val="20"/>
        </w:rPr>
        <w:t xml:space="preserve">-bundle; </w:t>
      </w:r>
    </w:p>
    <w:p w14:paraId="5F8BA8ED" w14:textId="29A85298" w:rsidR="00827B5C" w:rsidRDefault="002C6E9B" w:rsidP="00B46E84">
      <w:pPr>
        <w:pStyle w:val="Heading1"/>
        <w:numPr>
          <w:ilvl w:val="0"/>
          <w:numId w:val="0"/>
        </w:numPr>
        <w:rPr>
          <w:rFonts w:ascii="Times New Roman" w:hAnsi="Times New Roman"/>
          <w:sz w:val="20"/>
        </w:rPr>
      </w:pPr>
      <w:r w:rsidRPr="00B46E84">
        <w:rPr>
          <w:rFonts w:ascii="Times New Roman" w:hAnsi="Times New Roman"/>
          <w:sz w:val="20"/>
        </w:rPr>
        <w:t xml:space="preserve">the same precoding being used across the all resource-element groups within the set of contiguous resource blocks in the CORESET, </w:t>
      </w:r>
      <w:r w:rsidRPr="00957F29">
        <w:rPr>
          <w:rFonts w:ascii="Times New Roman" w:hAnsi="Times New Roman"/>
          <w:sz w:val="20"/>
        </w:rPr>
        <w:t xml:space="preserve">and that no resource elements in the CORESET overlap with an SSB or LTE cell-specific reference signals as indicated by the higher-layer parameter </w:t>
      </w:r>
      <w:proofErr w:type="spellStart"/>
      <w:r w:rsidRPr="00957F29">
        <w:rPr>
          <w:rFonts w:ascii="Times New Roman" w:hAnsi="Times New Roman"/>
          <w:sz w:val="20"/>
        </w:rPr>
        <w:t>lte</w:t>
      </w:r>
      <w:proofErr w:type="spellEnd"/>
      <w:r w:rsidRPr="00957F29">
        <w:rPr>
          <w:rFonts w:ascii="Times New Roman" w:hAnsi="Times New Roman"/>
          <w:sz w:val="20"/>
        </w:rPr>
        <w:t>-CRS-</w:t>
      </w:r>
      <w:proofErr w:type="spellStart"/>
      <w:r w:rsidRPr="00957F29">
        <w:rPr>
          <w:rFonts w:ascii="Times New Roman" w:hAnsi="Times New Roman"/>
          <w:sz w:val="20"/>
        </w:rPr>
        <w:t>ToMatchAround</w:t>
      </w:r>
      <w:proofErr w:type="spellEnd"/>
      <w:r w:rsidRPr="00B46E84">
        <w:rPr>
          <w:rFonts w:ascii="Times New Roman" w:hAnsi="Times New Roman"/>
          <w:sz w:val="20"/>
        </w:rPr>
        <w:t xml:space="preserve">, if the higher-layer parameter </w:t>
      </w:r>
      <w:proofErr w:type="spellStart"/>
      <w:r w:rsidRPr="00B46E84">
        <w:rPr>
          <w:rFonts w:ascii="Times New Roman" w:hAnsi="Times New Roman"/>
          <w:sz w:val="20"/>
        </w:rPr>
        <w:t>precoderGranularity</w:t>
      </w:r>
      <w:proofErr w:type="spellEnd"/>
      <w:r w:rsidRPr="00B46E84">
        <w:rPr>
          <w:rFonts w:ascii="Times New Roman" w:hAnsi="Times New Roman"/>
          <w:sz w:val="20"/>
        </w:rPr>
        <w:t xml:space="preserve"> equals </w:t>
      </w:r>
      <w:proofErr w:type="spellStart"/>
      <w:r w:rsidRPr="00B46E84">
        <w:rPr>
          <w:rFonts w:ascii="Times New Roman" w:hAnsi="Times New Roman"/>
          <w:sz w:val="20"/>
        </w:rPr>
        <w:t>allContiguousRBs</w:t>
      </w:r>
      <w:proofErr w:type="spellEnd"/>
      <w:r w:rsidRPr="00B46E84">
        <w:rPr>
          <w:rFonts w:ascii="Times New Roman" w:hAnsi="Times New Roman"/>
          <w:sz w:val="20"/>
        </w:rPr>
        <w:t>.“</w:t>
      </w:r>
    </w:p>
    <w:p w14:paraId="397553C1" w14:textId="651AF857" w:rsidR="00B46E84" w:rsidRDefault="00B46E84" w:rsidP="00B46E84"/>
    <w:p w14:paraId="5AB08A98" w14:textId="6665278B" w:rsidR="00B46E84" w:rsidRDefault="00B46E8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14:paraId="4ED812E9" w14:textId="3EDA607C" w:rsidR="00B46E84" w:rsidRDefault="00B46E84" w:rsidP="00B46E84">
      <w:pPr>
        <w:pStyle w:val="Heading1"/>
        <w:numPr>
          <w:ilvl w:val="0"/>
          <w:numId w:val="0"/>
        </w:numPr>
        <w:ind w:left="432" w:hanging="432"/>
      </w:pPr>
      <w:r>
        <w:t>Annex C – TS38.213 excerpt [3]</w:t>
      </w:r>
    </w:p>
    <w:p w14:paraId="79B4A998" w14:textId="77777777" w:rsidR="00B46E84" w:rsidRDefault="00B46E84" w:rsidP="00B46E84">
      <w:pPr>
        <w:pStyle w:val="B1"/>
        <w:overflowPunct/>
        <w:autoSpaceDE/>
        <w:autoSpaceDN/>
        <w:adjustRightInd/>
        <w:ind w:left="0" w:firstLine="0"/>
        <w:textAlignment w:val="auto"/>
        <w:rPr>
          <w:lang w:val="en-US" w:eastAsia="zh-CN"/>
        </w:rPr>
      </w:pPr>
      <w:r>
        <w:rPr>
          <w:lang w:eastAsia="zh-CN"/>
        </w:rPr>
        <w:t>38.213, section 10, “</w:t>
      </w:r>
      <w:r>
        <w:rPr>
          <w:lang w:val="x-none" w:eastAsia="zh-CN"/>
        </w:rPr>
        <w:t xml:space="preserve">If at least one RE of </w:t>
      </w:r>
      <w:r>
        <w:rPr>
          <w:lang w:eastAsia="zh-CN"/>
        </w:rPr>
        <w:t xml:space="preserve">a </w:t>
      </w:r>
      <w:r>
        <w:rPr>
          <w:lang w:val="x-none" w:eastAsia="zh-CN"/>
        </w:rPr>
        <w:t xml:space="preserve">PDCCH candidate on the serving cell overlaps with at least one RE of </w:t>
      </w:r>
      <w:proofErr w:type="spellStart"/>
      <w:r>
        <w:rPr>
          <w:i/>
          <w:iCs/>
          <w:lang w:val="x-none"/>
        </w:rPr>
        <w:t>lte</w:t>
      </w:r>
      <w:proofErr w:type="spellEnd"/>
      <w:r>
        <w:rPr>
          <w:i/>
          <w:iCs/>
          <w:lang w:val="x-none"/>
        </w:rPr>
        <w:t>-CRS-</w:t>
      </w:r>
      <w:proofErr w:type="spellStart"/>
      <w:r>
        <w:rPr>
          <w:i/>
          <w:iCs/>
          <w:lang w:val="x-none"/>
        </w:rPr>
        <w:t>ToMatchAround</w:t>
      </w:r>
      <w:proofErr w:type="spellEnd"/>
      <w:r>
        <w:rPr>
          <w:lang w:val="x-none"/>
        </w:rPr>
        <w:t xml:space="preserve">, </w:t>
      </w:r>
      <w:r>
        <w:rPr>
          <w:lang w:val="x-none" w:eastAsia="zh-CN"/>
        </w:rPr>
        <w:t>the UE is not required to monitor the PDCCH candidate</w:t>
      </w:r>
      <w:r>
        <w:rPr>
          <w:lang w:eastAsia="zh-CN"/>
        </w:rPr>
        <w:t>.”</w:t>
      </w:r>
    </w:p>
    <w:p w14:paraId="56B60AA7" w14:textId="525A4677" w:rsidR="00B46E84" w:rsidRPr="00B46E84" w:rsidRDefault="00B46E84" w:rsidP="00B46E84">
      <w:pPr>
        <w:rPr>
          <w:lang w:val="en-US"/>
        </w:rPr>
      </w:pPr>
    </w:p>
    <w:sectPr w:rsidR="00B46E84" w:rsidRPr="00B46E84" w:rsidSect="00B46E8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497A7" w14:textId="77777777" w:rsidR="00BD6290" w:rsidRDefault="00BD6290">
      <w:r>
        <w:separator/>
      </w:r>
    </w:p>
  </w:endnote>
  <w:endnote w:type="continuationSeparator" w:id="0">
    <w:p w14:paraId="1BA19835" w14:textId="77777777" w:rsidR="00BD6290" w:rsidRDefault="00BD6290">
      <w:r>
        <w:continuationSeparator/>
      </w:r>
    </w:p>
  </w:endnote>
  <w:endnote w:type="continuationNotice" w:id="1">
    <w:p w14:paraId="6B0CED1A" w14:textId="77777777" w:rsidR="00BD6290" w:rsidRDefault="00BD6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2DA04" w14:textId="77777777" w:rsidR="00973542" w:rsidRDefault="00973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3B314" w14:textId="77777777" w:rsidR="00973542" w:rsidRDefault="009735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20298" w14:textId="77777777" w:rsidR="00973542" w:rsidRDefault="00973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93AB3" w14:textId="77777777" w:rsidR="00BD6290" w:rsidRDefault="00BD6290">
      <w:r>
        <w:separator/>
      </w:r>
    </w:p>
  </w:footnote>
  <w:footnote w:type="continuationSeparator" w:id="0">
    <w:p w14:paraId="417D9FC6" w14:textId="77777777" w:rsidR="00BD6290" w:rsidRDefault="00BD6290">
      <w:r>
        <w:continuationSeparator/>
      </w:r>
    </w:p>
  </w:footnote>
  <w:footnote w:type="continuationNotice" w:id="1">
    <w:p w14:paraId="13C5B61F" w14:textId="77777777" w:rsidR="00BD6290" w:rsidRDefault="00BD62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853E0" w14:textId="77777777" w:rsidR="00973542" w:rsidRDefault="009735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1FCA0" w14:textId="77777777" w:rsidR="00973542" w:rsidRDefault="00973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09BB0" w14:textId="77777777" w:rsidR="00973542" w:rsidRDefault="009735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74F5B"/>
    <w:multiLevelType w:val="hybridMultilevel"/>
    <w:tmpl w:val="378673EC"/>
    <w:lvl w:ilvl="0" w:tplc="8D98A6B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F53DBA"/>
    <w:multiLevelType w:val="hybridMultilevel"/>
    <w:tmpl w:val="C30C21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6C5A4C"/>
    <w:multiLevelType w:val="hybridMultilevel"/>
    <w:tmpl w:val="9CB0A1EA"/>
    <w:lvl w:ilvl="0" w:tplc="916A2E6E">
      <w:start w:val="38"/>
      <w:numFmt w:val="bullet"/>
      <w:lvlText w:val="-"/>
      <w:lvlJc w:val="left"/>
      <w:pPr>
        <w:ind w:left="930" w:hanging="57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94F1F"/>
    <w:multiLevelType w:val="hybridMultilevel"/>
    <w:tmpl w:val="36A27798"/>
    <w:lvl w:ilvl="0" w:tplc="70C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C1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EB4B4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6F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E7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29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C2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8C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A9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A0B51"/>
    <w:multiLevelType w:val="hybridMultilevel"/>
    <w:tmpl w:val="24206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B3D1E"/>
    <w:multiLevelType w:val="hybridMultilevel"/>
    <w:tmpl w:val="C6D2FCBC"/>
    <w:lvl w:ilvl="0" w:tplc="474EFB2E">
      <w:start w:val="38"/>
      <w:numFmt w:val="bullet"/>
      <w:lvlText w:val="-"/>
      <w:lvlJc w:val="left"/>
      <w:pPr>
        <w:ind w:left="1380" w:hanging="10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8"/>
  </w:num>
  <w:num w:numId="3">
    <w:abstractNumId w:val="1"/>
  </w:num>
  <w:num w:numId="4">
    <w:abstractNumId w:val="3"/>
  </w:num>
  <w:num w:numId="5">
    <w:abstractNumId w:val="16"/>
  </w:num>
  <w:num w:numId="6">
    <w:abstractNumId w:val="30"/>
  </w:num>
  <w:num w:numId="7">
    <w:abstractNumId w:val="19"/>
  </w:num>
  <w:num w:numId="8">
    <w:abstractNumId w:val="15"/>
  </w:num>
  <w:num w:numId="9">
    <w:abstractNumId w:val="34"/>
  </w:num>
  <w:num w:numId="10">
    <w:abstractNumId w:val="5"/>
  </w:num>
  <w:num w:numId="11">
    <w:abstractNumId w:val="21"/>
  </w:num>
  <w:num w:numId="12">
    <w:abstractNumId w:val="4"/>
  </w:num>
  <w:num w:numId="13">
    <w:abstractNumId w:val="12"/>
  </w:num>
  <w:num w:numId="14">
    <w:abstractNumId w:val="26"/>
  </w:num>
  <w:num w:numId="15">
    <w:abstractNumId w:val="17"/>
  </w:num>
  <w:num w:numId="16">
    <w:abstractNumId w:val="2"/>
  </w:num>
  <w:num w:numId="17">
    <w:abstractNumId w:val="25"/>
  </w:num>
  <w:num w:numId="18">
    <w:abstractNumId w:val="14"/>
  </w:num>
  <w:num w:numId="19">
    <w:abstractNumId w:val="20"/>
  </w:num>
  <w:num w:numId="20">
    <w:abstractNumId w:val="33"/>
  </w:num>
  <w:num w:numId="21">
    <w:abstractNumId w:val="35"/>
  </w:num>
  <w:num w:numId="22">
    <w:abstractNumId w:val="24"/>
  </w:num>
  <w:num w:numId="23">
    <w:abstractNumId w:val="11"/>
  </w:num>
  <w:num w:numId="24">
    <w:abstractNumId w:val="7"/>
  </w:num>
  <w:num w:numId="25">
    <w:abstractNumId w:val="31"/>
  </w:num>
  <w:num w:numId="26">
    <w:abstractNumId w:val="27"/>
  </w:num>
  <w:num w:numId="27">
    <w:abstractNumId w:val="9"/>
  </w:num>
  <w:num w:numId="28">
    <w:abstractNumId w:val="29"/>
  </w:num>
  <w:num w:numId="29">
    <w:abstractNumId w:val="23"/>
  </w:num>
  <w:num w:numId="30">
    <w:abstractNumId w:val="6"/>
  </w:num>
  <w:num w:numId="31">
    <w:abstractNumId w:val="22"/>
  </w:num>
  <w:num w:numId="32">
    <w:abstractNumId w:val="0"/>
  </w:num>
  <w:num w:numId="33">
    <w:abstractNumId w:val="18"/>
  </w:num>
  <w:num w:numId="34">
    <w:abstractNumId w:val="13"/>
  </w:num>
  <w:num w:numId="35">
    <w:abstractNumId w:val="3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637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A04"/>
    <w:rsid w:val="00115C88"/>
    <w:rsid w:val="0011644A"/>
    <w:rsid w:val="00117332"/>
    <w:rsid w:val="0011784B"/>
    <w:rsid w:val="001204DD"/>
    <w:rsid w:val="00122839"/>
    <w:rsid w:val="00122EF6"/>
    <w:rsid w:val="001237AC"/>
    <w:rsid w:val="00124C77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10E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A13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006A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E9B"/>
    <w:rsid w:val="002C7276"/>
    <w:rsid w:val="002C742F"/>
    <w:rsid w:val="002C770F"/>
    <w:rsid w:val="002C7CFF"/>
    <w:rsid w:val="002D0BC6"/>
    <w:rsid w:val="002D12DB"/>
    <w:rsid w:val="002D17C5"/>
    <w:rsid w:val="002D365F"/>
    <w:rsid w:val="002D51DF"/>
    <w:rsid w:val="002D58D7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646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6458"/>
    <w:rsid w:val="003A7127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4AD9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2075"/>
    <w:rsid w:val="0041443C"/>
    <w:rsid w:val="004145C0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24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C49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535"/>
    <w:rsid w:val="005A704D"/>
    <w:rsid w:val="005B3C6D"/>
    <w:rsid w:val="005B4045"/>
    <w:rsid w:val="005B609E"/>
    <w:rsid w:val="005B6DF6"/>
    <w:rsid w:val="005B7B7D"/>
    <w:rsid w:val="005C0A2B"/>
    <w:rsid w:val="005C1948"/>
    <w:rsid w:val="005C22F9"/>
    <w:rsid w:val="005C2576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6F0A"/>
    <w:rsid w:val="005D786C"/>
    <w:rsid w:val="005E00E5"/>
    <w:rsid w:val="005E0148"/>
    <w:rsid w:val="005E049F"/>
    <w:rsid w:val="005E0BB6"/>
    <w:rsid w:val="005E3073"/>
    <w:rsid w:val="005E316A"/>
    <w:rsid w:val="005E7088"/>
    <w:rsid w:val="005E7C21"/>
    <w:rsid w:val="005E7E1B"/>
    <w:rsid w:val="005F0108"/>
    <w:rsid w:val="005F0291"/>
    <w:rsid w:val="005F0ECC"/>
    <w:rsid w:val="005F21A5"/>
    <w:rsid w:val="005F2470"/>
    <w:rsid w:val="005F28C6"/>
    <w:rsid w:val="005F2D43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750"/>
    <w:rsid w:val="0067096D"/>
    <w:rsid w:val="00670AF4"/>
    <w:rsid w:val="006719E0"/>
    <w:rsid w:val="0067269D"/>
    <w:rsid w:val="00672988"/>
    <w:rsid w:val="00672C64"/>
    <w:rsid w:val="006736BF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0E68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46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8D1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6BEF"/>
    <w:rsid w:val="00737A31"/>
    <w:rsid w:val="00742A6A"/>
    <w:rsid w:val="00742B44"/>
    <w:rsid w:val="0074656E"/>
    <w:rsid w:val="007472D5"/>
    <w:rsid w:val="0075015A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57A7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27B5C"/>
    <w:rsid w:val="008307ED"/>
    <w:rsid w:val="00830B3B"/>
    <w:rsid w:val="0083350F"/>
    <w:rsid w:val="00834358"/>
    <w:rsid w:val="008346BD"/>
    <w:rsid w:val="00834923"/>
    <w:rsid w:val="008352E3"/>
    <w:rsid w:val="008359EB"/>
    <w:rsid w:val="00836B7A"/>
    <w:rsid w:val="00837B90"/>
    <w:rsid w:val="008409AA"/>
    <w:rsid w:val="00840FB8"/>
    <w:rsid w:val="00842A32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0F05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F15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F29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542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1C1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6E84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61C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986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5CA1"/>
    <w:rsid w:val="00BD6290"/>
    <w:rsid w:val="00BD723F"/>
    <w:rsid w:val="00BD75B4"/>
    <w:rsid w:val="00BD7D14"/>
    <w:rsid w:val="00BD7F82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1D04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700"/>
    <w:rsid w:val="00C11ADE"/>
    <w:rsid w:val="00C126E0"/>
    <w:rsid w:val="00C128BC"/>
    <w:rsid w:val="00C12E39"/>
    <w:rsid w:val="00C137C8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45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92E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C26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0FC1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261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05E8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D5C"/>
    <w:rsid w:val="00E57E1A"/>
    <w:rsid w:val="00E604C4"/>
    <w:rsid w:val="00E60809"/>
    <w:rsid w:val="00E61300"/>
    <w:rsid w:val="00E62B94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408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83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1D2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table" w:customStyle="1" w:styleId="Tabellengitternetz2">
    <w:name w:val="Tabellengitternetz2"/>
    <w:basedOn w:val="TableNormal"/>
    <w:next w:val="TableGrid"/>
    <w:rsid w:val="005E7C21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55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99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1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3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497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1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sv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svg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5AIRPNAIUNRU-1830940522-8190</_dlc_DocId>
    <_dlc_DocIdUrl xmlns="71c5aaf6-e6ce-465b-b873-5148d2a4c105">
      <Url>https://nokia.sharepoint.com/sites/c5g/5gradio/_layouts/15/DocIdRedir.aspx?ID=5AIRPNAIUNRU-1830940522-8190</Url>
      <Description>5AIRPNAIUNRU-1830940522-8190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50FC9-77B4-4CCA-91EB-2D48C6D0F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CA222A-DD12-4D57-9EFC-9096217F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2020-08-07T22:25:00Z</dcterms:created>
  <dcterms:modified xsi:type="dcterms:W3CDTF">2020-08-07T22:25:00Z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83a15690-bfe0-4712-9d02-73c0a7d976cc</vt:lpwstr>
  </property>
</Properties>
</file>